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87E04E4" w14:textId="77777777" w:rsidR="00BE7513" w:rsidRDefault="00BE7513" w:rsidP="006A4059">
      <w:pPr>
        <w:jc w:val="center"/>
      </w:pPr>
      <w:r>
        <w:rPr>
          <w:rFonts w:cs="Arial"/>
          <w:noProof/>
          <w:sz w:val="16"/>
          <w:szCs w:val="16"/>
          <w:lang w:eastAsia="en-GB"/>
        </w:rPr>
        <w:drawing>
          <wp:inline distT="0" distB="0" distL="0" distR="0" wp14:anchorId="0FECABBD" wp14:editId="05852165">
            <wp:extent cx="1771650" cy="944880"/>
            <wp:effectExtent l="0" t="0" r="0" b="7620"/>
            <wp:docPr id="1" name="Picture 1" descr="mwda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_logo_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944880"/>
                    </a:xfrm>
                    <a:prstGeom prst="rect">
                      <a:avLst/>
                    </a:prstGeom>
                    <a:noFill/>
                    <a:ln>
                      <a:noFill/>
                    </a:ln>
                  </pic:spPr>
                </pic:pic>
              </a:graphicData>
            </a:graphic>
          </wp:inline>
        </w:drawing>
      </w:r>
    </w:p>
    <w:p w14:paraId="558E82A2" w14:textId="77777777" w:rsidR="001E3C7E" w:rsidRPr="001E3C7E" w:rsidRDefault="001E3C7E" w:rsidP="001E3C7E">
      <w:pPr>
        <w:jc w:val="center"/>
        <w:rPr>
          <w:b/>
          <w:sz w:val="36"/>
          <w:szCs w:val="36"/>
        </w:rPr>
      </w:pPr>
      <w:r w:rsidRPr="00756768">
        <w:rPr>
          <w:b/>
          <w:sz w:val="36"/>
          <w:szCs w:val="36"/>
        </w:rPr>
        <w:t>JOB DESCRIPTION</w:t>
      </w:r>
    </w:p>
    <w:tbl>
      <w:tblPr>
        <w:tblStyle w:val="TableGrid"/>
        <w:tblW w:w="0" w:type="auto"/>
        <w:tblLook w:val="04A0" w:firstRow="1" w:lastRow="0" w:firstColumn="1" w:lastColumn="0" w:noHBand="0" w:noVBand="1"/>
      </w:tblPr>
      <w:tblGrid>
        <w:gridCol w:w="3023"/>
        <w:gridCol w:w="5993"/>
      </w:tblGrid>
      <w:tr w:rsidR="00BE7513" w14:paraId="30A18362" w14:textId="77777777" w:rsidTr="0031767F">
        <w:tc>
          <w:tcPr>
            <w:tcW w:w="3023" w:type="dxa"/>
          </w:tcPr>
          <w:p w14:paraId="57365897" w14:textId="77777777" w:rsidR="00BE7513" w:rsidRDefault="00BE7513" w:rsidP="00BE7513">
            <w:pPr>
              <w:rPr>
                <w:b/>
              </w:rPr>
            </w:pPr>
            <w:r w:rsidRPr="00BE7513">
              <w:rPr>
                <w:b/>
              </w:rPr>
              <w:t>SECTION</w:t>
            </w:r>
          </w:p>
          <w:p w14:paraId="5AF18D98" w14:textId="77777777" w:rsidR="00BE7513" w:rsidRPr="00BE7513" w:rsidRDefault="00BE7513" w:rsidP="00BE7513">
            <w:pPr>
              <w:rPr>
                <w:b/>
              </w:rPr>
            </w:pPr>
          </w:p>
        </w:tc>
        <w:tc>
          <w:tcPr>
            <w:tcW w:w="5993" w:type="dxa"/>
          </w:tcPr>
          <w:p w14:paraId="7FD1D9E8" w14:textId="233FF822" w:rsidR="00BE7513" w:rsidRDefault="000E1748" w:rsidP="00BE7513">
            <w:r>
              <w:t>Estates Management</w:t>
            </w:r>
          </w:p>
        </w:tc>
      </w:tr>
      <w:tr w:rsidR="00BE7513" w14:paraId="432B5314" w14:textId="77777777" w:rsidTr="0031767F">
        <w:tc>
          <w:tcPr>
            <w:tcW w:w="3023" w:type="dxa"/>
          </w:tcPr>
          <w:p w14:paraId="3F3A01DF" w14:textId="77777777" w:rsidR="00BE7513" w:rsidRDefault="00BE7513" w:rsidP="00BE7513">
            <w:pPr>
              <w:rPr>
                <w:b/>
              </w:rPr>
            </w:pPr>
            <w:r w:rsidRPr="00BE7513">
              <w:rPr>
                <w:b/>
              </w:rPr>
              <w:t>JOB TITLE</w:t>
            </w:r>
          </w:p>
          <w:p w14:paraId="2F66957D" w14:textId="77777777" w:rsidR="00BE7513" w:rsidRPr="00BE7513" w:rsidRDefault="00BE7513" w:rsidP="00BE7513">
            <w:pPr>
              <w:rPr>
                <w:b/>
              </w:rPr>
            </w:pPr>
          </w:p>
        </w:tc>
        <w:tc>
          <w:tcPr>
            <w:tcW w:w="5993" w:type="dxa"/>
          </w:tcPr>
          <w:p w14:paraId="2C026CDF" w14:textId="681EF85B" w:rsidR="00580CE6" w:rsidRDefault="000E1748" w:rsidP="00BE7513">
            <w:pPr>
              <w:rPr>
                <w:b/>
              </w:rPr>
            </w:pPr>
            <w:r>
              <w:rPr>
                <w:b/>
              </w:rPr>
              <w:t>ENVIRONMENTAL</w:t>
            </w:r>
            <w:r w:rsidR="002A0450">
              <w:rPr>
                <w:b/>
              </w:rPr>
              <w:t xml:space="preserve"> </w:t>
            </w:r>
            <w:r w:rsidR="003C69F7">
              <w:rPr>
                <w:b/>
              </w:rPr>
              <w:t>COMPLIANCE</w:t>
            </w:r>
            <w:r w:rsidR="00916C0A">
              <w:rPr>
                <w:b/>
              </w:rPr>
              <w:t xml:space="preserve"> OFFICER</w:t>
            </w:r>
          </w:p>
          <w:p w14:paraId="0D81AF36" w14:textId="67B00642" w:rsidR="00580CE6" w:rsidRPr="00951C03" w:rsidRDefault="00580CE6" w:rsidP="00BE7513">
            <w:pPr>
              <w:rPr>
                <w:b/>
              </w:rPr>
            </w:pPr>
          </w:p>
        </w:tc>
      </w:tr>
      <w:tr w:rsidR="00BE7513" w14:paraId="2A41DCDE" w14:textId="77777777" w:rsidTr="0031767F">
        <w:tc>
          <w:tcPr>
            <w:tcW w:w="3023" w:type="dxa"/>
          </w:tcPr>
          <w:p w14:paraId="701F0366" w14:textId="59D562B4" w:rsidR="00BE7513" w:rsidRDefault="00BE7513" w:rsidP="00BE7513">
            <w:pPr>
              <w:rPr>
                <w:b/>
              </w:rPr>
            </w:pPr>
            <w:r w:rsidRPr="00BE7513">
              <w:rPr>
                <w:b/>
              </w:rPr>
              <w:t>GRADE</w:t>
            </w:r>
          </w:p>
          <w:p w14:paraId="70D257CA" w14:textId="77777777" w:rsidR="00BE7513" w:rsidRPr="00BE7513" w:rsidRDefault="00BE7513" w:rsidP="00BE7513">
            <w:pPr>
              <w:rPr>
                <w:b/>
              </w:rPr>
            </w:pPr>
          </w:p>
        </w:tc>
        <w:tc>
          <w:tcPr>
            <w:tcW w:w="5993" w:type="dxa"/>
          </w:tcPr>
          <w:p w14:paraId="507EC469" w14:textId="6BA912E4" w:rsidR="00BE7513" w:rsidRPr="009768B5" w:rsidRDefault="000852E0" w:rsidP="004625B9">
            <w:pPr>
              <w:rPr>
                <w:highlight w:val="yellow"/>
              </w:rPr>
            </w:pPr>
            <w:r w:rsidRPr="00CF0203">
              <w:t>Band D/E</w:t>
            </w:r>
          </w:p>
        </w:tc>
      </w:tr>
      <w:tr w:rsidR="00BE7513" w14:paraId="7C229A6A" w14:textId="77777777" w:rsidTr="0031767F">
        <w:tc>
          <w:tcPr>
            <w:tcW w:w="3023" w:type="dxa"/>
          </w:tcPr>
          <w:p w14:paraId="3BC2F9A1" w14:textId="77777777" w:rsidR="00BE7513" w:rsidRDefault="00BE7513" w:rsidP="00BE7513">
            <w:pPr>
              <w:rPr>
                <w:b/>
              </w:rPr>
            </w:pPr>
            <w:r w:rsidRPr="00BE7513">
              <w:rPr>
                <w:b/>
              </w:rPr>
              <w:t>SALARY RANGE</w:t>
            </w:r>
          </w:p>
          <w:p w14:paraId="41EF6C2E" w14:textId="77777777" w:rsidR="00BE7513" w:rsidRPr="00BE7513" w:rsidRDefault="00BE7513" w:rsidP="00BE7513">
            <w:pPr>
              <w:rPr>
                <w:b/>
              </w:rPr>
            </w:pPr>
          </w:p>
        </w:tc>
        <w:tc>
          <w:tcPr>
            <w:tcW w:w="5993" w:type="dxa"/>
          </w:tcPr>
          <w:p w14:paraId="1916009F" w14:textId="3E79BD0E" w:rsidR="00BE7513" w:rsidRPr="009768B5" w:rsidRDefault="00BC611C" w:rsidP="00535F6E">
            <w:pPr>
              <w:rPr>
                <w:highlight w:val="yellow"/>
              </w:rPr>
            </w:pPr>
            <w:r w:rsidRPr="00CF0203">
              <w:t>£33,366 - £38,626</w:t>
            </w:r>
          </w:p>
        </w:tc>
      </w:tr>
      <w:tr w:rsidR="00BE7513" w14:paraId="187274BF" w14:textId="77777777" w:rsidTr="0031767F">
        <w:tc>
          <w:tcPr>
            <w:tcW w:w="3023" w:type="dxa"/>
          </w:tcPr>
          <w:p w14:paraId="568ADFB9" w14:textId="77777777" w:rsidR="00BE7513" w:rsidRDefault="00BE7513" w:rsidP="00BE7513">
            <w:pPr>
              <w:rPr>
                <w:b/>
              </w:rPr>
            </w:pPr>
            <w:r w:rsidRPr="00BE7513">
              <w:rPr>
                <w:b/>
              </w:rPr>
              <w:t>LOCATION</w:t>
            </w:r>
          </w:p>
          <w:p w14:paraId="28B5A8EE" w14:textId="77777777" w:rsidR="00BE7513" w:rsidRPr="00BE7513" w:rsidRDefault="00BE7513" w:rsidP="00BE7513">
            <w:pPr>
              <w:rPr>
                <w:b/>
              </w:rPr>
            </w:pPr>
          </w:p>
        </w:tc>
        <w:tc>
          <w:tcPr>
            <w:tcW w:w="5993" w:type="dxa"/>
          </w:tcPr>
          <w:p w14:paraId="7CFB0878" w14:textId="77777777" w:rsidR="009833C1" w:rsidRDefault="009833C1" w:rsidP="00BE7513">
            <w:r w:rsidRPr="009833C1">
              <w:t xml:space="preserve">Mann Island </w:t>
            </w:r>
            <w:r>
              <w:t>Liverpool</w:t>
            </w:r>
          </w:p>
          <w:p w14:paraId="5C1E7B71" w14:textId="536BA804" w:rsidR="000E1748" w:rsidRDefault="009833C1" w:rsidP="00BE7513">
            <w:r w:rsidRPr="009833C1">
              <w:t xml:space="preserve">- but will be required to work outdoor at various </w:t>
            </w:r>
            <w:r>
              <w:t xml:space="preserve">other </w:t>
            </w:r>
            <w:r w:rsidRPr="009833C1">
              <w:t>locations</w:t>
            </w:r>
            <w:r w:rsidR="00557355">
              <w:t xml:space="preserve"> within Merseyside.</w:t>
            </w:r>
            <w:r w:rsidRPr="009833C1">
              <w:t xml:space="preserve">  </w:t>
            </w:r>
          </w:p>
        </w:tc>
      </w:tr>
      <w:tr w:rsidR="00BE7513" w14:paraId="7DD7D2E6" w14:textId="77777777" w:rsidTr="0031767F">
        <w:tc>
          <w:tcPr>
            <w:tcW w:w="3023" w:type="dxa"/>
          </w:tcPr>
          <w:p w14:paraId="79F57CEE" w14:textId="77777777" w:rsidR="00BE7513" w:rsidRDefault="00BE7513" w:rsidP="00BE7513">
            <w:pPr>
              <w:rPr>
                <w:b/>
              </w:rPr>
            </w:pPr>
            <w:r w:rsidRPr="00BE7513">
              <w:rPr>
                <w:b/>
              </w:rPr>
              <w:t>PRIMARY PURPOSE OF THE JOB</w:t>
            </w:r>
          </w:p>
          <w:p w14:paraId="59C6A37B" w14:textId="77777777" w:rsidR="00BE7513" w:rsidRPr="00BE7513" w:rsidRDefault="00BE7513" w:rsidP="00BE7513">
            <w:pPr>
              <w:rPr>
                <w:b/>
              </w:rPr>
            </w:pPr>
          </w:p>
        </w:tc>
        <w:tc>
          <w:tcPr>
            <w:tcW w:w="5993" w:type="dxa"/>
          </w:tcPr>
          <w:p w14:paraId="76D2A514" w14:textId="11344D8F" w:rsidR="000E1748" w:rsidRDefault="000E1748" w:rsidP="000E1748">
            <w:r>
              <w:t xml:space="preserve">To </w:t>
            </w:r>
            <w:r w:rsidR="00CE7920">
              <w:t>support</w:t>
            </w:r>
            <w:r>
              <w:t xml:space="preserve"> the Estates</w:t>
            </w:r>
            <w:r w:rsidRPr="00FA1971">
              <w:t xml:space="preserve"> Manager in </w:t>
            </w:r>
            <w:r w:rsidR="00B2054A">
              <w:t>the provision of a</w:t>
            </w:r>
            <w:r w:rsidRPr="00FA1971">
              <w:t xml:space="preserve"> contract </w:t>
            </w:r>
            <w:r>
              <w:t>monitoring</w:t>
            </w:r>
            <w:r w:rsidR="0026306E">
              <w:t xml:space="preserve"> </w:t>
            </w:r>
            <w:r w:rsidR="009768B5">
              <w:t>and administration,</w:t>
            </w:r>
            <w:r w:rsidR="00557355">
              <w:t xml:space="preserve"> </w:t>
            </w:r>
            <w:r>
              <w:t xml:space="preserve">and environmental monitoring </w:t>
            </w:r>
            <w:r w:rsidR="009768B5">
              <w:t>&amp;</w:t>
            </w:r>
            <w:r>
              <w:t xml:space="preserve"> </w:t>
            </w:r>
            <w:r w:rsidRPr="00FA1971">
              <w:t>maintenance</w:t>
            </w:r>
            <w:r w:rsidR="0026306E">
              <w:t xml:space="preserve"> </w:t>
            </w:r>
            <w:r w:rsidR="00557355" w:rsidRPr="00FA1971">
              <w:t>service</w:t>
            </w:r>
            <w:r w:rsidR="00557355">
              <w:t>,</w:t>
            </w:r>
            <w:r w:rsidRPr="00FA1971">
              <w:t xml:space="preserve"> with </w:t>
            </w:r>
            <w:proofErr w:type="gramStart"/>
            <w:r w:rsidRPr="00FA1971">
              <w:t>particular regard</w:t>
            </w:r>
            <w:proofErr w:type="gramEnd"/>
            <w:r>
              <w:t xml:space="preserve"> the Authority’s closed landfill sites.</w:t>
            </w:r>
          </w:p>
          <w:p w14:paraId="5C247636" w14:textId="77777777" w:rsidR="00BE7513" w:rsidRDefault="00BE7513" w:rsidP="004A71E2">
            <w:pPr>
              <w:pStyle w:val="Default"/>
            </w:pPr>
          </w:p>
        </w:tc>
      </w:tr>
      <w:tr w:rsidR="00BE7513" w14:paraId="04037332" w14:textId="77777777" w:rsidTr="0031767F">
        <w:tc>
          <w:tcPr>
            <w:tcW w:w="3023" w:type="dxa"/>
          </w:tcPr>
          <w:p w14:paraId="5BC2C73A" w14:textId="5992222D" w:rsidR="00BE7513" w:rsidRDefault="00BE7513" w:rsidP="00BE7513">
            <w:pPr>
              <w:rPr>
                <w:b/>
              </w:rPr>
            </w:pPr>
            <w:r w:rsidRPr="00BE7513">
              <w:rPr>
                <w:b/>
              </w:rPr>
              <w:t>DIRECTLY RESPONSIBLE TO</w:t>
            </w:r>
          </w:p>
          <w:p w14:paraId="5A61D7B5" w14:textId="77777777" w:rsidR="00BE7513" w:rsidRPr="00BE7513" w:rsidRDefault="00BE7513" w:rsidP="00BE7513">
            <w:pPr>
              <w:rPr>
                <w:b/>
              </w:rPr>
            </w:pPr>
          </w:p>
        </w:tc>
        <w:tc>
          <w:tcPr>
            <w:tcW w:w="5993" w:type="dxa"/>
          </w:tcPr>
          <w:p w14:paraId="769D1A36" w14:textId="099125E4" w:rsidR="00BE7513" w:rsidRDefault="000027E4" w:rsidP="00693054">
            <w:r>
              <w:t xml:space="preserve"> </w:t>
            </w:r>
            <w:r w:rsidR="00B20588">
              <w:t>Estates Manager</w:t>
            </w:r>
          </w:p>
        </w:tc>
      </w:tr>
      <w:tr w:rsidR="0031767F" w14:paraId="3EF79EBC" w14:textId="77777777" w:rsidTr="0031767F">
        <w:tc>
          <w:tcPr>
            <w:tcW w:w="3023" w:type="dxa"/>
          </w:tcPr>
          <w:p w14:paraId="7248ADFA" w14:textId="77777777" w:rsidR="0031767F" w:rsidRDefault="0031767F" w:rsidP="0031767F">
            <w:pPr>
              <w:rPr>
                <w:b/>
              </w:rPr>
            </w:pPr>
            <w:r w:rsidRPr="00BE7513">
              <w:rPr>
                <w:b/>
              </w:rPr>
              <w:t>DIRECTLY RESPONSIBLE FOR</w:t>
            </w:r>
          </w:p>
          <w:p w14:paraId="6E8D77C2" w14:textId="77777777" w:rsidR="0031767F" w:rsidRPr="00BE7513" w:rsidRDefault="0031767F" w:rsidP="0031767F">
            <w:pPr>
              <w:rPr>
                <w:b/>
              </w:rPr>
            </w:pPr>
          </w:p>
        </w:tc>
        <w:tc>
          <w:tcPr>
            <w:tcW w:w="5993" w:type="dxa"/>
          </w:tcPr>
          <w:p w14:paraId="44384D3B" w14:textId="6947332C" w:rsidR="0031767F" w:rsidRPr="00312956" w:rsidRDefault="0031767F" w:rsidP="0031767F">
            <w:r>
              <w:t>N/A</w:t>
            </w:r>
          </w:p>
        </w:tc>
      </w:tr>
    </w:tbl>
    <w:p w14:paraId="4A958DEA" w14:textId="77777777" w:rsidR="00BE7513" w:rsidRDefault="00BE7513" w:rsidP="00BE7513"/>
    <w:p w14:paraId="66721BE7" w14:textId="79DD272C" w:rsidR="00BE7513" w:rsidRDefault="000E68D9" w:rsidP="00BE7513">
      <w:pPr>
        <w:spacing w:after="0" w:line="240" w:lineRule="auto"/>
        <w:rPr>
          <w:b/>
        </w:rPr>
      </w:pPr>
      <w:r>
        <w:rPr>
          <w:b/>
        </w:rPr>
        <w:t>PRINCIP</w:t>
      </w:r>
      <w:r w:rsidR="00CE7920">
        <w:rPr>
          <w:b/>
        </w:rPr>
        <w:t>AL</w:t>
      </w:r>
      <w:r w:rsidR="00D112F8">
        <w:rPr>
          <w:b/>
        </w:rPr>
        <w:t xml:space="preserve"> DUTIES</w:t>
      </w:r>
    </w:p>
    <w:p w14:paraId="247F627E" w14:textId="77777777" w:rsidR="00A51183" w:rsidRDefault="00A51183" w:rsidP="00BE7513">
      <w:pPr>
        <w:spacing w:after="0" w:line="240" w:lineRule="auto"/>
        <w:rPr>
          <w:b/>
        </w:rPr>
      </w:pPr>
    </w:p>
    <w:p w14:paraId="7B330C11" w14:textId="77777777" w:rsidR="00A51183" w:rsidRDefault="00A51183" w:rsidP="00BE7513">
      <w:pPr>
        <w:spacing w:after="0" w:line="240" w:lineRule="auto"/>
        <w:rPr>
          <w:b/>
        </w:rPr>
      </w:pPr>
    </w:p>
    <w:p w14:paraId="1F22A9E5" w14:textId="7323E3CD" w:rsidR="00A51183" w:rsidRPr="006F652A" w:rsidRDefault="00A51183" w:rsidP="00B64194">
      <w:pPr>
        <w:ind w:left="720" w:hanging="720"/>
        <w:rPr>
          <w:bCs/>
        </w:rPr>
      </w:pPr>
      <w:r w:rsidRPr="006F652A">
        <w:rPr>
          <w:bCs/>
        </w:rPr>
        <w:t>1.</w:t>
      </w:r>
      <w:r w:rsidRPr="006F652A">
        <w:rPr>
          <w:bCs/>
        </w:rPr>
        <w:tab/>
        <w:t xml:space="preserve">To lead in the provision of </w:t>
      </w:r>
      <w:r w:rsidR="00B64194" w:rsidRPr="006F652A">
        <w:rPr>
          <w:bCs/>
        </w:rPr>
        <w:t>an effective</w:t>
      </w:r>
      <w:r w:rsidRPr="006F652A">
        <w:rPr>
          <w:bCs/>
        </w:rPr>
        <w:t xml:space="preserve"> environmental management service across th</w:t>
      </w:r>
      <w:r w:rsidR="00B64194" w:rsidRPr="006F652A">
        <w:rPr>
          <w:bCs/>
        </w:rPr>
        <w:t>e</w:t>
      </w:r>
      <w:r w:rsidRPr="006F652A">
        <w:rPr>
          <w:bCs/>
        </w:rPr>
        <w:t xml:space="preserve">   </w:t>
      </w:r>
      <w:r w:rsidR="00B64194" w:rsidRPr="006F652A">
        <w:rPr>
          <w:bCs/>
        </w:rPr>
        <w:t xml:space="preserve">   </w:t>
      </w:r>
      <w:r w:rsidRPr="006F652A">
        <w:rPr>
          <w:bCs/>
        </w:rPr>
        <w:t>Authority’s closed landfill sites that incorporates, environmental monitoring and maintenance, testing and analysis, and reporting. All in compliance with relevant obligations, legal requirements, and duty of care.</w:t>
      </w:r>
      <w:r w:rsidRPr="006F652A">
        <w:rPr>
          <w:bCs/>
        </w:rPr>
        <w:tab/>
      </w:r>
      <w:r w:rsidRPr="006F652A">
        <w:rPr>
          <w:bCs/>
        </w:rPr>
        <w:tab/>
      </w:r>
      <w:r w:rsidRPr="006F652A">
        <w:rPr>
          <w:bCs/>
        </w:rPr>
        <w:tab/>
      </w:r>
    </w:p>
    <w:p w14:paraId="0FDC8828" w14:textId="77777777" w:rsidR="00A51183" w:rsidRPr="006F652A" w:rsidRDefault="00A51183" w:rsidP="00B64194">
      <w:pPr>
        <w:spacing w:after="0" w:line="240" w:lineRule="auto"/>
        <w:ind w:left="720" w:hanging="720"/>
        <w:rPr>
          <w:bCs/>
        </w:rPr>
      </w:pPr>
      <w:r w:rsidRPr="006F652A">
        <w:rPr>
          <w:bCs/>
        </w:rPr>
        <w:t>2.</w:t>
      </w:r>
      <w:r w:rsidRPr="006F652A">
        <w:rPr>
          <w:bCs/>
        </w:rPr>
        <w:tab/>
        <w:t>Supervise environmental monitoring and associated environmental undertakings, to ensure results are interpreted correctly, and remediation works completed accordingly.</w:t>
      </w:r>
    </w:p>
    <w:p w14:paraId="6FACA9AD" w14:textId="77777777" w:rsidR="00A51183" w:rsidRPr="006F652A" w:rsidRDefault="00A51183" w:rsidP="00B64194">
      <w:pPr>
        <w:spacing w:after="0" w:line="240" w:lineRule="auto"/>
        <w:rPr>
          <w:bCs/>
        </w:rPr>
      </w:pPr>
    </w:p>
    <w:p w14:paraId="69D4868F" w14:textId="0A56B597" w:rsidR="00A51183" w:rsidRPr="006F652A" w:rsidRDefault="00A51183" w:rsidP="00B64194">
      <w:pPr>
        <w:spacing w:after="0" w:line="240" w:lineRule="auto"/>
        <w:ind w:left="720" w:hanging="720"/>
        <w:rPr>
          <w:bCs/>
        </w:rPr>
      </w:pPr>
      <w:r w:rsidRPr="006F652A">
        <w:rPr>
          <w:bCs/>
        </w:rPr>
        <w:t>3.</w:t>
      </w:r>
      <w:r w:rsidRPr="006F652A">
        <w:rPr>
          <w:bCs/>
        </w:rPr>
        <w:tab/>
        <w:t>Monitor, appraise, and report against the environmental undertaking of the Authority’s appointed contractors.</w:t>
      </w:r>
      <w:r w:rsidRPr="006F652A">
        <w:rPr>
          <w:bCs/>
        </w:rPr>
        <w:tab/>
      </w:r>
    </w:p>
    <w:p w14:paraId="42A55B36" w14:textId="77777777" w:rsidR="00BE7513" w:rsidRDefault="00BE7513" w:rsidP="00B64194">
      <w:pPr>
        <w:spacing w:after="0" w:line="240" w:lineRule="auto"/>
        <w:rPr>
          <w:b/>
        </w:rPr>
      </w:pPr>
    </w:p>
    <w:p w14:paraId="3297B7AD" w14:textId="3793CBAE" w:rsidR="00A5413C" w:rsidRPr="00B64194" w:rsidRDefault="00B64194" w:rsidP="00B64194">
      <w:pPr>
        <w:ind w:left="720" w:hanging="720"/>
        <w:contextualSpacing/>
      </w:pPr>
      <w:r>
        <w:t>4.</w:t>
      </w:r>
      <w:r>
        <w:tab/>
      </w:r>
      <w:r w:rsidR="009768B5" w:rsidRPr="00B64194">
        <w:t>S</w:t>
      </w:r>
      <w:r w:rsidR="002C220A" w:rsidRPr="00B64194">
        <w:t>upervis</w:t>
      </w:r>
      <w:r w:rsidR="009768B5" w:rsidRPr="00B64194">
        <w:t>e</w:t>
      </w:r>
      <w:r w:rsidR="00F24570" w:rsidRPr="00B64194">
        <w:t>, administer,</w:t>
      </w:r>
      <w:r w:rsidR="002C220A" w:rsidRPr="00B64194">
        <w:t xml:space="preserve"> </w:t>
      </w:r>
      <w:r w:rsidR="003A71BF" w:rsidRPr="00B64194">
        <w:t xml:space="preserve">deliver, </w:t>
      </w:r>
      <w:r w:rsidR="002C220A" w:rsidRPr="00B64194">
        <w:t>and develop</w:t>
      </w:r>
      <w:r w:rsidR="003A71BF" w:rsidRPr="00B64194">
        <w:t>,</w:t>
      </w:r>
      <w:r w:rsidR="00002ACF" w:rsidRPr="00B64194">
        <w:t xml:space="preserve"> the Authority’s </w:t>
      </w:r>
      <w:r w:rsidR="00F24570" w:rsidRPr="00B64194">
        <w:t xml:space="preserve">external </w:t>
      </w:r>
      <w:r w:rsidR="000E1748" w:rsidRPr="00B64194">
        <w:t>service contracts in relation to the aftercare of its closed landfill sites</w:t>
      </w:r>
      <w:r w:rsidR="00F24570" w:rsidRPr="00B64194">
        <w:t>.</w:t>
      </w:r>
    </w:p>
    <w:p w14:paraId="54DA4E73" w14:textId="77777777" w:rsidR="00A10F79" w:rsidRPr="00B64194" w:rsidRDefault="00A10F79" w:rsidP="00B64194">
      <w:pPr>
        <w:contextualSpacing/>
      </w:pPr>
    </w:p>
    <w:p w14:paraId="3FD16881" w14:textId="3BF99AE4" w:rsidR="00C52EB3" w:rsidRPr="00B64194" w:rsidRDefault="00B64194" w:rsidP="00B64194">
      <w:pPr>
        <w:ind w:left="720" w:hanging="720"/>
      </w:pPr>
      <w:r>
        <w:t>5.</w:t>
      </w:r>
      <w:r>
        <w:tab/>
      </w:r>
      <w:r w:rsidR="009768B5" w:rsidRPr="00B64194">
        <w:t>R</w:t>
      </w:r>
      <w:r w:rsidR="00A10F79" w:rsidRPr="00B64194">
        <w:t xml:space="preserve">eview </w:t>
      </w:r>
      <w:r w:rsidR="008D6A4A" w:rsidRPr="00B64194">
        <w:t xml:space="preserve">and report on </w:t>
      </w:r>
      <w:r w:rsidR="00F24570" w:rsidRPr="00B64194">
        <w:t xml:space="preserve">the </w:t>
      </w:r>
      <w:r w:rsidR="008D6A4A" w:rsidRPr="00B64194">
        <w:t xml:space="preserve">contractors’ performance, </w:t>
      </w:r>
      <w:r w:rsidR="00F24570" w:rsidRPr="00B64194">
        <w:t xml:space="preserve">contract compliance, </w:t>
      </w:r>
      <w:r w:rsidR="009768B5" w:rsidRPr="00B64194">
        <w:t>service delivery, and</w:t>
      </w:r>
      <w:r w:rsidR="00A10F79" w:rsidRPr="00B64194">
        <w:t xml:space="preserve"> </w:t>
      </w:r>
      <w:r w:rsidR="009768B5" w:rsidRPr="00B64194">
        <w:t>invoice validity</w:t>
      </w:r>
      <w:r w:rsidR="00A10F79" w:rsidRPr="00B64194">
        <w:t>.</w:t>
      </w:r>
    </w:p>
    <w:p w14:paraId="6239597C" w14:textId="71B7FE02" w:rsidR="000B2C17" w:rsidRDefault="00B64194" w:rsidP="00B64194">
      <w:pPr>
        <w:spacing w:after="0" w:line="240" w:lineRule="auto"/>
        <w:ind w:left="720" w:hanging="720"/>
      </w:pPr>
      <w:r>
        <w:lastRenderedPageBreak/>
        <w:t>6.</w:t>
      </w:r>
      <w:r>
        <w:tab/>
      </w:r>
      <w:r w:rsidR="009768B5">
        <w:t>P</w:t>
      </w:r>
      <w:r w:rsidR="00A10F79" w:rsidRPr="00312956">
        <w:rPr>
          <w:rFonts w:cs="Arial"/>
        </w:rPr>
        <w:t>rovi</w:t>
      </w:r>
      <w:r w:rsidR="009768B5">
        <w:rPr>
          <w:rFonts w:cs="Arial"/>
        </w:rPr>
        <w:t>sion of</w:t>
      </w:r>
      <w:r w:rsidR="00A10F79" w:rsidRPr="00312956">
        <w:rPr>
          <w:rFonts w:cs="Arial"/>
        </w:rPr>
        <w:t xml:space="preserve"> </w:t>
      </w:r>
      <w:r w:rsidR="00A10F79">
        <w:rPr>
          <w:rFonts w:cs="Arial"/>
        </w:rPr>
        <w:t xml:space="preserve">scientific and </w:t>
      </w:r>
      <w:r w:rsidR="00A10F79" w:rsidRPr="00312956">
        <w:rPr>
          <w:rFonts w:cs="Arial"/>
        </w:rPr>
        <w:t>technical support</w:t>
      </w:r>
      <w:r w:rsidR="00CC6F1A">
        <w:rPr>
          <w:rFonts w:cs="Arial"/>
        </w:rPr>
        <w:t xml:space="preserve"> to</w:t>
      </w:r>
      <w:r w:rsidR="00A10F79" w:rsidRPr="00312956">
        <w:rPr>
          <w:rFonts w:cs="Arial"/>
        </w:rPr>
        <w:t xml:space="preserve"> </w:t>
      </w:r>
      <w:r w:rsidR="008D6A4A">
        <w:rPr>
          <w:rFonts w:cs="Arial"/>
        </w:rPr>
        <w:t>undertake</w:t>
      </w:r>
      <w:r w:rsidR="009833C1" w:rsidRPr="009833C1">
        <w:rPr>
          <w:rFonts w:cs="Arial"/>
        </w:rPr>
        <w:t xml:space="preserve"> environmental monitoring, </w:t>
      </w:r>
      <w:r w:rsidR="00CC6F1A">
        <w:rPr>
          <w:rFonts w:cs="Arial"/>
        </w:rPr>
        <w:t xml:space="preserve">data </w:t>
      </w:r>
      <w:r w:rsidR="009833C1" w:rsidRPr="009833C1">
        <w:rPr>
          <w:rFonts w:cs="Arial"/>
        </w:rPr>
        <w:t>analysis and reporting</w:t>
      </w:r>
      <w:r w:rsidR="00CC6F1A">
        <w:rPr>
          <w:rFonts w:cs="Arial"/>
        </w:rPr>
        <w:t>,</w:t>
      </w:r>
      <w:r w:rsidR="009833C1" w:rsidRPr="009833C1">
        <w:rPr>
          <w:rFonts w:cs="Arial"/>
        </w:rPr>
        <w:t xml:space="preserve"> in respect of the Authority's </w:t>
      </w:r>
      <w:r w:rsidR="009768B5">
        <w:rPr>
          <w:rFonts w:cs="Arial"/>
        </w:rPr>
        <w:t>closed landfill sites</w:t>
      </w:r>
      <w:r w:rsidR="009833C1" w:rsidRPr="009833C1">
        <w:rPr>
          <w:rFonts w:cs="Arial"/>
        </w:rPr>
        <w:t xml:space="preserve">.  </w:t>
      </w:r>
    </w:p>
    <w:p w14:paraId="2D9D9558" w14:textId="77777777" w:rsidR="00B64194" w:rsidRDefault="00B64194" w:rsidP="00B64194">
      <w:pPr>
        <w:spacing w:after="0" w:line="240" w:lineRule="auto"/>
        <w:ind w:left="360" w:hanging="360"/>
      </w:pPr>
    </w:p>
    <w:p w14:paraId="164AD452" w14:textId="3A98831F" w:rsidR="00A5413C" w:rsidRPr="00A10F79" w:rsidRDefault="00B64194" w:rsidP="00B64194">
      <w:pPr>
        <w:spacing w:after="0" w:line="240" w:lineRule="auto"/>
        <w:ind w:left="720" w:hanging="720"/>
      </w:pPr>
      <w:r>
        <w:t>7.</w:t>
      </w:r>
      <w:r>
        <w:tab/>
      </w:r>
      <w:r w:rsidR="009768B5">
        <w:t>C</w:t>
      </w:r>
      <w:r w:rsidR="00CE7920">
        <w:rPr>
          <w:rFonts w:cs="Arial"/>
        </w:rPr>
        <w:t>ontribute</w:t>
      </w:r>
      <w:r w:rsidR="00A10F79">
        <w:rPr>
          <w:rFonts w:cs="Arial"/>
        </w:rPr>
        <w:t xml:space="preserve"> </w:t>
      </w:r>
      <w:r w:rsidR="00CE7920">
        <w:rPr>
          <w:rFonts w:cs="Arial"/>
        </w:rPr>
        <w:t>to</w:t>
      </w:r>
      <w:r w:rsidR="00A10F79">
        <w:rPr>
          <w:rFonts w:cs="Arial"/>
        </w:rPr>
        <w:t xml:space="preserve"> the preparation of environmental monitoring programmes for the Authority’s </w:t>
      </w:r>
      <w:r w:rsidR="009768B5">
        <w:rPr>
          <w:rFonts w:cs="Arial"/>
        </w:rPr>
        <w:t>closed landfill sites</w:t>
      </w:r>
      <w:r w:rsidR="00A10F79">
        <w:rPr>
          <w:rFonts w:cs="Arial"/>
        </w:rPr>
        <w:t>.</w:t>
      </w:r>
    </w:p>
    <w:p w14:paraId="580DE13D" w14:textId="77777777" w:rsidR="00A10F79" w:rsidRPr="00983CE1" w:rsidRDefault="00A10F79" w:rsidP="00B64194">
      <w:pPr>
        <w:spacing w:after="0" w:line="240" w:lineRule="auto"/>
      </w:pPr>
    </w:p>
    <w:p w14:paraId="1464CB59" w14:textId="07EB016D" w:rsidR="00A10F79" w:rsidRPr="00CC6F1A" w:rsidRDefault="00B64194" w:rsidP="00B64194">
      <w:pPr>
        <w:spacing w:after="0" w:line="240" w:lineRule="auto"/>
        <w:ind w:left="720" w:hanging="720"/>
      </w:pPr>
      <w:r>
        <w:t>8.</w:t>
      </w:r>
      <w:r>
        <w:tab/>
      </w:r>
      <w:r w:rsidR="009768B5">
        <w:t>C</w:t>
      </w:r>
      <w:r w:rsidR="00CE7920">
        <w:rPr>
          <w:rFonts w:cs="Arial"/>
        </w:rPr>
        <w:t>ontribute</w:t>
      </w:r>
      <w:r w:rsidR="00A10F79" w:rsidRPr="00312956">
        <w:rPr>
          <w:rFonts w:cs="Arial"/>
        </w:rPr>
        <w:t xml:space="preserve"> </w:t>
      </w:r>
      <w:r w:rsidR="00CE7920" w:rsidRPr="00312956">
        <w:rPr>
          <w:rFonts w:cs="Arial"/>
        </w:rPr>
        <w:t>to</w:t>
      </w:r>
      <w:r w:rsidR="00A10F79" w:rsidRPr="00312956">
        <w:rPr>
          <w:rFonts w:cs="Arial"/>
        </w:rPr>
        <w:t xml:space="preserve"> the preparation of designs and specifications</w:t>
      </w:r>
      <w:r w:rsidR="004675C8">
        <w:rPr>
          <w:rFonts w:cs="Arial"/>
        </w:rPr>
        <w:t>,</w:t>
      </w:r>
      <w:r w:rsidR="00A10F79" w:rsidRPr="00312956">
        <w:rPr>
          <w:rFonts w:cs="Arial"/>
        </w:rPr>
        <w:t xml:space="preserve"> and supervision of </w:t>
      </w:r>
      <w:r w:rsidR="00163432" w:rsidRPr="00312956">
        <w:rPr>
          <w:rFonts w:cs="Arial"/>
        </w:rPr>
        <w:t>works</w:t>
      </w:r>
      <w:r w:rsidR="00163432">
        <w:rPr>
          <w:rFonts w:cs="Arial"/>
        </w:rPr>
        <w:t>,</w:t>
      </w:r>
      <w:r w:rsidR="00163432" w:rsidRPr="00312956">
        <w:rPr>
          <w:rFonts w:cs="Arial"/>
        </w:rPr>
        <w:t xml:space="preserve"> </w:t>
      </w:r>
      <w:proofErr w:type="gramStart"/>
      <w:r w:rsidR="00163432" w:rsidRPr="00312956">
        <w:rPr>
          <w:rFonts w:cs="Arial"/>
        </w:rPr>
        <w:t>with</w:t>
      </w:r>
      <w:r w:rsidR="00A10F79" w:rsidRPr="00312956">
        <w:rPr>
          <w:rFonts w:cs="Arial"/>
        </w:rPr>
        <w:t xml:space="preserve"> regard to</w:t>
      </w:r>
      <w:proofErr w:type="gramEnd"/>
      <w:r w:rsidR="00A10F79" w:rsidRPr="00312956">
        <w:rPr>
          <w:rFonts w:cs="Arial"/>
        </w:rPr>
        <w:t xml:space="preserve"> environmental monitoring</w:t>
      </w:r>
      <w:r w:rsidR="00CC6F1A">
        <w:rPr>
          <w:rFonts w:cs="Arial"/>
        </w:rPr>
        <w:t xml:space="preserve"> and</w:t>
      </w:r>
      <w:r w:rsidR="00A10F79" w:rsidRPr="00312956">
        <w:rPr>
          <w:rFonts w:cs="Arial"/>
        </w:rPr>
        <w:t xml:space="preserve"> maintenance</w:t>
      </w:r>
      <w:r w:rsidR="00A10F79">
        <w:rPr>
          <w:rFonts w:cs="Arial"/>
        </w:rPr>
        <w:t>,</w:t>
      </w:r>
      <w:r w:rsidR="00A10F79" w:rsidRPr="00312956">
        <w:rPr>
          <w:rFonts w:cs="Arial"/>
        </w:rPr>
        <w:t xml:space="preserve"> </w:t>
      </w:r>
      <w:r w:rsidR="004675C8">
        <w:rPr>
          <w:rFonts w:cs="Arial"/>
        </w:rPr>
        <w:t>and</w:t>
      </w:r>
      <w:r w:rsidR="00A10F79" w:rsidRPr="00312956">
        <w:rPr>
          <w:rFonts w:cs="Arial"/>
        </w:rPr>
        <w:t xml:space="preserve"> </w:t>
      </w:r>
      <w:r w:rsidR="0026306E">
        <w:rPr>
          <w:rFonts w:cs="Arial"/>
        </w:rPr>
        <w:t xml:space="preserve">environmental </w:t>
      </w:r>
      <w:r w:rsidR="00A10F79" w:rsidRPr="00312956">
        <w:rPr>
          <w:rFonts w:cs="Arial"/>
        </w:rPr>
        <w:t>control works.</w:t>
      </w:r>
    </w:p>
    <w:p w14:paraId="3F5BBFF8" w14:textId="77777777" w:rsidR="00A10F79" w:rsidRPr="00A10F79" w:rsidRDefault="00A10F79" w:rsidP="00B64194">
      <w:pPr>
        <w:spacing w:after="0" w:line="240" w:lineRule="auto"/>
      </w:pPr>
    </w:p>
    <w:p w14:paraId="6967FCBC" w14:textId="66FF1D64" w:rsidR="00A10F79" w:rsidRDefault="00B64194" w:rsidP="00B64194">
      <w:pPr>
        <w:spacing w:after="0" w:line="240" w:lineRule="auto"/>
        <w:ind w:left="720" w:hanging="720"/>
      </w:pPr>
      <w:r>
        <w:t xml:space="preserve">9.    </w:t>
      </w:r>
      <w:r>
        <w:tab/>
      </w:r>
      <w:r w:rsidR="00163432">
        <w:t xml:space="preserve">Procurement of </w:t>
      </w:r>
      <w:r w:rsidR="00191FE2">
        <w:t xml:space="preserve">works, </w:t>
      </w:r>
      <w:r w:rsidR="00191FE2" w:rsidRPr="00A10F79">
        <w:t>goods</w:t>
      </w:r>
      <w:r w:rsidR="00163432">
        <w:t>,</w:t>
      </w:r>
      <w:r w:rsidR="00A10F79" w:rsidRPr="00A10F79">
        <w:t xml:space="preserve"> and services relating to the Authority’s </w:t>
      </w:r>
      <w:r w:rsidR="00163432">
        <w:t xml:space="preserve">estates, </w:t>
      </w:r>
      <w:r w:rsidR="00A10F79" w:rsidRPr="00A10F79">
        <w:t>and</w:t>
      </w:r>
      <w:r>
        <w:t xml:space="preserve"> </w:t>
      </w:r>
      <w:r w:rsidR="00A10F79" w:rsidRPr="00A10F79">
        <w:t>environmental monitoring infrastructure and equipment.</w:t>
      </w:r>
    </w:p>
    <w:p w14:paraId="28D2FF31" w14:textId="77777777" w:rsidR="00A10F79" w:rsidRDefault="00A10F79" w:rsidP="00B64194">
      <w:pPr>
        <w:pStyle w:val="ListParagraph"/>
      </w:pPr>
    </w:p>
    <w:p w14:paraId="72942AD4" w14:textId="6A5C037F" w:rsidR="00163432" w:rsidRDefault="00B64194" w:rsidP="00B64194">
      <w:pPr>
        <w:spacing w:after="0" w:line="240" w:lineRule="auto"/>
        <w:ind w:left="720" w:hanging="720"/>
      </w:pPr>
      <w:r>
        <w:t xml:space="preserve">10. </w:t>
      </w:r>
      <w:r>
        <w:tab/>
      </w:r>
      <w:r w:rsidR="00A10F79" w:rsidRPr="00A10F79">
        <w:t>Maintain records</w:t>
      </w:r>
      <w:r w:rsidR="00163432">
        <w:t xml:space="preserve"> of dat</w:t>
      </w:r>
      <w:r w:rsidR="00191FE2">
        <w:t>a</w:t>
      </w:r>
      <w:r w:rsidR="00163432">
        <w:t>,</w:t>
      </w:r>
      <w:r w:rsidR="00A10F79" w:rsidRPr="00A10F79">
        <w:t xml:space="preserve"> and compile reports to support </w:t>
      </w:r>
      <w:r w:rsidR="00163432">
        <w:t xml:space="preserve">the </w:t>
      </w:r>
      <w:r w:rsidR="00A10F79" w:rsidRPr="00A10F79">
        <w:t>systems</w:t>
      </w:r>
      <w:r w:rsidR="00163432">
        <w:t xml:space="preserve"> and </w:t>
      </w:r>
      <w:r w:rsidR="00A10F79" w:rsidRPr="00A10F79">
        <w:t>function</w:t>
      </w:r>
      <w:r w:rsidR="00163432">
        <w:t>s</w:t>
      </w:r>
      <w:r w:rsidR="00A10F79" w:rsidRPr="00A10F79">
        <w:t xml:space="preserve"> </w:t>
      </w:r>
      <w:r w:rsidR="00163432">
        <w:t>of</w:t>
      </w:r>
      <w:r w:rsidR="00A10F79" w:rsidRPr="00A10F79">
        <w:t xml:space="preserve"> the Estates Section.</w:t>
      </w:r>
    </w:p>
    <w:p w14:paraId="4D1FBD1B" w14:textId="77777777" w:rsidR="00D379B3" w:rsidRDefault="00D379B3" w:rsidP="00B64194">
      <w:pPr>
        <w:spacing w:after="0" w:line="240" w:lineRule="auto"/>
      </w:pPr>
    </w:p>
    <w:p w14:paraId="6AB73AAD" w14:textId="5DA258CF" w:rsidR="00D85B86" w:rsidRPr="00B64194" w:rsidRDefault="00B64194" w:rsidP="00B64194">
      <w:pPr>
        <w:rPr>
          <w:rFonts w:cstheme="minorHAnsi"/>
        </w:rPr>
      </w:pPr>
      <w:r>
        <w:rPr>
          <w:rFonts w:cstheme="minorHAnsi"/>
        </w:rPr>
        <w:t>11.</w:t>
      </w:r>
      <w:r>
        <w:rPr>
          <w:rFonts w:cstheme="minorHAnsi"/>
        </w:rPr>
        <w:tab/>
      </w:r>
      <w:r w:rsidR="00D379B3" w:rsidRPr="00B64194">
        <w:rPr>
          <w:rFonts w:cstheme="minorHAnsi"/>
        </w:rPr>
        <w:t>Support the Manager in the preparation and management of financial budgets</w:t>
      </w:r>
    </w:p>
    <w:p w14:paraId="590DE8C0" w14:textId="3835EF77" w:rsidR="00ED13C3" w:rsidRDefault="00B64194" w:rsidP="00B64194">
      <w:pPr>
        <w:spacing w:after="0" w:line="240" w:lineRule="auto"/>
        <w:ind w:left="720" w:hanging="720"/>
      </w:pPr>
      <w:bookmarkStart w:id="0" w:name="_Hlk174621279"/>
      <w:r>
        <w:t xml:space="preserve">12. </w:t>
      </w:r>
      <w:r>
        <w:tab/>
      </w:r>
      <w:r w:rsidR="00163432">
        <w:t>Research and implementation of best practice techniques and initiatives to minimise the impact of the Authority’s activities on the environment, and to improve upon efficien</w:t>
      </w:r>
      <w:r w:rsidR="00D84BC5">
        <w:t>cy</w:t>
      </w:r>
      <w:r w:rsidR="00163432">
        <w:t xml:space="preserve">. </w:t>
      </w:r>
    </w:p>
    <w:bookmarkEnd w:id="0"/>
    <w:p w14:paraId="1F10F7B7" w14:textId="77777777" w:rsidR="00163432" w:rsidRDefault="00163432" w:rsidP="00D85B86">
      <w:pPr>
        <w:spacing w:after="0" w:line="240" w:lineRule="auto"/>
        <w:ind w:left="360"/>
        <w:jc w:val="both"/>
      </w:pPr>
    </w:p>
    <w:p w14:paraId="0BDE32AA" w14:textId="77777777" w:rsidR="00BE7513" w:rsidRDefault="00BE7513" w:rsidP="00BE7513">
      <w:pPr>
        <w:spacing w:after="0" w:line="240" w:lineRule="auto"/>
        <w:rPr>
          <w:b/>
        </w:rPr>
      </w:pPr>
    </w:p>
    <w:p w14:paraId="664A54D5" w14:textId="77777777" w:rsidR="00BE7513" w:rsidRDefault="00BE7513" w:rsidP="00BE7513">
      <w:pPr>
        <w:spacing w:after="0" w:line="240" w:lineRule="auto"/>
        <w:rPr>
          <w:b/>
        </w:rPr>
      </w:pPr>
      <w:r>
        <w:rPr>
          <w:b/>
        </w:rPr>
        <w:t>OTHER</w:t>
      </w:r>
      <w:r w:rsidR="008519B0">
        <w:rPr>
          <w:b/>
        </w:rPr>
        <w:t xml:space="preserve"> DUTIES</w:t>
      </w:r>
    </w:p>
    <w:p w14:paraId="4CA56E9B" w14:textId="77777777" w:rsidR="00BE7513" w:rsidRDefault="00BE7513" w:rsidP="00BE7513">
      <w:pPr>
        <w:spacing w:after="0" w:line="240" w:lineRule="auto"/>
        <w:rPr>
          <w:b/>
        </w:rPr>
      </w:pPr>
    </w:p>
    <w:p w14:paraId="6E830FEF" w14:textId="77777777" w:rsidR="009768B5" w:rsidRPr="009768B5" w:rsidRDefault="009768B5" w:rsidP="009833C1">
      <w:pPr>
        <w:pStyle w:val="ListParagraph"/>
        <w:numPr>
          <w:ilvl w:val="0"/>
          <w:numId w:val="3"/>
        </w:numPr>
        <w:ind w:left="709"/>
        <w:contextualSpacing/>
        <w:jc w:val="both"/>
        <w:rPr>
          <w:rFonts w:asciiTheme="minorHAnsi" w:eastAsiaTheme="minorHAnsi" w:hAnsiTheme="minorHAnsi" w:cstheme="minorHAnsi"/>
          <w:szCs w:val="22"/>
        </w:rPr>
      </w:pPr>
      <w:r w:rsidRPr="009768B5">
        <w:rPr>
          <w:rFonts w:asciiTheme="minorHAnsi" w:hAnsiTheme="minorHAnsi" w:cstheme="minorHAnsi"/>
          <w:color w:val="000000" w:themeColor="text1"/>
          <w:szCs w:val="22"/>
          <w:lang w:val="en"/>
        </w:rPr>
        <w:t>Proactively manage with the assistance of the Manager, procedures and practices ensuring that all Health and Safety (H&amp;S) regulations are adhered to</w:t>
      </w:r>
      <w:r w:rsidRPr="009768B5">
        <w:rPr>
          <w:rFonts w:asciiTheme="minorHAnsi" w:hAnsiTheme="minorHAnsi" w:cstheme="minorHAnsi"/>
          <w:color w:val="4E4E4E"/>
          <w:szCs w:val="22"/>
          <w:lang w:val="en"/>
        </w:rPr>
        <w:t>.</w:t>
      </w:r>
    </w:p>
    <w:p w14:paraId="5DD65955" w14:textId="77777777" w:rsidR="009768B5" w:rsidRPr="009768B5" w:rsidRDefault="009768B5" w:rsidP="009768B5">
      <w:pPr>
        <w:pStyle w:val="ListParagraph"/>
        <w:ind w:left="709"/>
        <w:contextualSpacing/>
        <w:jc w:val="both"/>
        <w:rPr>
          <w:rFonts w:asciiTheme="minorHAnsi" w:eastAsiaTheme="minorHAnsi" w:hAnsiTheme="minorHAnsi" w:cs="Arial"/>
          <w:szCs w:val="22"/>
        </w:rPr>
      </w:pPr>
    </w:p>
    <w:p w14:paraId="07539DDC" w14:textId="350746E0" w:rsidR="009833C1" w:rsidRPr="009833C1" w:rsidRDefault="009833C1" w:rsidP="009833C1">
      <w:pPr>
        <w:pStyle w:val="ListParagraph"/>
        <w:numPr>
          <w:ilvl w:val="0"/>
          <w:numId w:val="3"/>
        </w:numPr>
        <w:ind w:left="709"/>
        <w:contextualSpacing/>
        <w:jc w:val="both"/>
        <w:rPr>
          <w:rFonts w:asciiTheme="minorHAnsi" w:eastAsiaTheme="minorHAnsi" w:hAnsiTheme="minorHAnsi" w:cs="Arial"/>
          <w:szCs w:val="22"/>
        </w:rPr>
      </w:pPr>
      <w:bookmarkStart w:id="1" w:name="_Hlk174543194"/>
      <w:r w:rsidRPr="009833C1">
        <w:rPr>
          <w:rFonts w:asciiTheme="minorHAnsi" w:hAnsiTheme="minorHAnsi" w:cs="Arial"/>
          <w:szCs w:val="22"/>
        </w:rPr>
        <w:t>To comply with the requirements of the Authority’s accredited ISO 14001: 2015 Environmental Management System</w:t>
      </w:r>
      <w:r>
        <w:rPr>
          <w:rFonts w:asciiTheme="minorHAnsi" w:hAnsiTheme="minorHAnsi" w:cs="Arial"/>
          <w:szCs w:val="22"/>
        </w:rPr>
        <w:t>, and Competenc</w:t>
      </w:r>
      <w:r w:rsidR="004A4E46">
        <w:rPr>
          <w:rFonts w:asciiTheme="minorHAnsi" w:hAnsiTheme="minorHAnsi" w:cs="Arial"/>
          <w:szCs w:val="22"/>
        </w:rPr>
        <w:t>e</w:t>
      </w:r>
      <w:r>
        <w:rPr>
          <w:rFonts w:asciiTheme="minorHAnsi" w:hAnsiTheme="minorHAnsi" w:cs="Arial"/>
          <w:szCs w:val="22"/>
        </w:rPr>
        <w:t xml:space="preserve"> Management System,</w:t>
      </w:r>
      <w:r w:rsidRPr="009833C1">
        <w:rPr>
          <w:rFonts w:asciiTheme="minorHAnsi" w:hAnsiTheme="minorHAnsi" w:cs="Arial"/>
          <w:szCs w:val="22"/>
        </w:rPr>
        <w:t xml:space="preserve"> for activities associated with the monitoring and maintenance of its waste management facilities and associated office activities.</w:t>
      </w:r>
    </w:p>
    <w:bookmarkEnd w:id="1"/>
    <w:p w14:paraId="2DDBB60C" w14:textId="77777777" w:rsidR="009833C1" w:rsidRPr="009833C1" w:rsidRDefault="009833C1" w:rsidP="009833C1">
      <w:pPr>
        <w:spacing w:after="0" w:line="240" w:lineRule="auto"/>
        <w:ind w:left="709"/>
        <w:contextualSpacing/>
        <w:rPr>
          <w:rFonts w:cs="Arial"/>
        </w:rPr>
      </w:pPr>
    </w:p>
    <w:p w14:paraId="60E3BBE1" w14:textId="77777777" w:rsidR="009833C1" w:rsidRPr="009833C1" w:rsidRDefault="009833C1" w:rsidP="009833C1">
      <w:pPr>
        <w:numPr>
          <w:ilvl w:val="0"/>
          <w:numId w:val="3"/>
        </w:numPr>
        <w:spacing w:after="0" w:line="240" w:lineRule="auto"/>
        <w:ind w:left="709"/>
        <w:contextualSpacing/>
        <w:rPr>
          <w:rFonts w:cs="Arial"/>
        </w:rPr>
      </w:pPr>
      <w:bookmarkStart w:id="2" w:name="_Hlk174543233"/>
      <w:r w:rsidRPr="009833C1">
        <w:rPr>
          <w:rFonts w:cs="Arial"/>
        </w:rPr>
        <w:t>Keep abreast of legislation pertaining to the functions of the post.</w:t>
      </w:r>
    </w:p>
    <w:bookmarkEnd w:id="2"/>
    <w:p w14:paraId="1BAB988F" w14:textId="77777777" w:rsidR="009833C1" w:rsidRPr="009833C1" w:rsidRDefault="009833C1" w:rsidP="009833C1">
      <w:pPr>
        <w:spacing w:after="0" w:line="240" w:lineRule="auto"/>
        <w:ind w:left="1080"/>
        <w:contextualSpacing/>
        <w:rPr>
          <w:rFonts w:cs="Arial"/>
        </w:rPr>
      </w:pPr>
    </w:p>
    <w:p w14:paraId="2108560E" w14:textId="3CCED45F" w:rsidR="009833C1" w:rsidRPr="009833C1" w:rsidRDefault="009833C1" w:rsidP="009833C1">
      <w:pPr>
        <w:numPr>
          <w:ilvl w:val="0"/>
          <w:numId w:val="3"/>
        </w:numPr>
        <w:spacing w:after="0" w:line="240" w:lineRule="auto"/>
        <w:ind w:left="709"/>
        <w:contextualSpacing/>
        <w:jc w:val="both"/>
      </w:pPr>
      <w:r w:rsidRPr="009833C1">
        <w:rPr>
          <w:color w:val="000000" w:themeColor="text1"/>
          <w:lang w:val="en"/>
        </w:rPr>
        <w:t xml:space="preserve">To maintain personal and professional development to meet the changing demands of the </w:t>
      </w:r>
      <w:r w:rsidR="0026306E" w:rsidRPr="009833C1">
        <w:rPr>
          <w:color w:val="000000" w:themeColor="text1"/>
          <w:lang w:val="en"/>
        </w:rPr>
        <w:t>post and</w:t>
      </w:r>
      <w:r w:rsidRPr="009833C1">
        <w:rPr>
          <w:color w:val="000000" w:themeColor="text1"/>
          <w:lang w:val="en"/>
        </w:rPr>
        <w:t xml:space="preserve"> participate in appropriate training activities.</w:t>
      </w:r>
    </w:p>
    <w:p w14:paraId="57DA2217" w14:textId="77777777" w:rsidR="009833C1" w:rsidRPr="009833C1" w:rsidRDefault="009833C1" w:rsidP="009833C1">
      <w:pPr>
        <w:spacing w:after="0" w:line="240" w:lineRule="auto"/>
      </w:pPr>
    </w:p>
    <w:p w14:paraId="665A9F60" w14:textId="77777777" w:rsidR="009833C1" w:rsidRPr="009833C1" w:rsidRDefault="009833C1" w:rsidP="009833C1">
      <w:pPr>
        <w:numPr>
          <w:ilvl w:val="0"/>
          <w:numId w:val="3"/>
        </w:numPr>
        <w:ind w:left="709" w:hanging="709"/>
        <w:contextualSpacing/>
        <w:rPr>
          <w:rFonts w:ascii="Calibri" w:hAnsi="Calibri"/>
        </w:rPr>
      </w:pPr>
      <w:r w:rsidRPr="009833C1">
        <w:t xml:space="preserve">The above duties do not include or define all tasks that may be required by the postholder.  The Post holder may be directed to work flexibly in other areas where responsibility levels are commensurate with the employees’ grade of pay </w:t>
      </w:r>
      <w:proofErr w:type="gramStart"/>
      <w:r w:rsidRPr="009833C1">
        <w:t>in order to</w:t>
      </w:r>
      <w:proofErr w:type="gramEnd"/>
      <w:r w:rsidRPr="009833C1">
        <w:t xml:space="preserve"> ensure that resources are deployed effectively and where necessary across the Authority.</w:t>
      </w:r>
    </w:p>
    <w:p w14:paraId="3DA1099B" w14:textId="77777777" w:rsidR="009833C1" w:rsidRPr="009833C1" w:rsidRDefault="009833C1" w:rsidP="009833C1">
      <w:pPr>
        <w:spacing w:after="0" w:line="240" w:lineRule="auto"/>
        <w:rPr>
          <w:b/>
        </w:rPr>
      </w:pPr>
    </w:p>
    <w:p w14:paraId="65FA5014" w14:textId="2E7399E2" w:rsidR="009833C1" w:rsidRPr="009833C1" w:rsidRDefault="009833C1" w:rsidP="009833C1">
      <w:pPr>
        <w:spacing w:after="0" w:line="240" w:lineRule="auto"/>
      </w:pPr>
      <w:r w:rsidRPr="009833C1">
        <w:t xml:space="preserve">A full </w:t>
      </w:r>
      <w:r w:rsidR="0026306E">
        <w:t xml:space="preserve">UK </w:t>
      </w:r>
      <w:r w:rsidRPr="009833C1">
        <w:t>valid driving licence is essential for this role</w:t>
      </w:r>
      <w:r w:rsidR="0026306E">
        <w:t>.</w:t>
      </w:r>
    </w:p>
    <w:p w14:paraId="6F14850F" w14:textId="77777777" w:rsidR="00147C7F" w:rsidRDefault="00147C7F" w:rsidP="00BE7513">
      <w:pPr>
        <w:spacing w:after="0" w:line="240" w:lineRule="auto"/>
        <w:rPr>
          <w:b/>
        </w:rPr>
      </w:pPr>
    </w:p>
    <w:p w14:paraId="014176A8" w14:textId="77777777" w:rsidR="00147C7F" w:rsidRDefault="00147C7F" w:rsidP="00BE7513">
      <w:pPr>
        <w:spacing w:after="0" w:line="240" w:lineRule="auto"/>
        <w:rPr>
          <w:b/>
        </w:rPr>
      </w:pPr>
    </w:p>
    <w:p w14:paraId="4771B537" w14:textId="77777777" w:rsidR="00BE7513" w:rsidRPr="00BE7513" w:rsidRDefault="00BE7513" w:rsidP="00BE7513">
      <w:pPr>
        <w:pBdr>
          <w:top w:val="single" w:sz="4" w:space="1" w:color="auto"/>
        </w:pBdr>
        <w:spacing w:after="0" w:line="240" w:lineRule="auto"/>
        <w:jc w:val="both"/>
        <w:rPr>
          <w:rFonts w:ascii="Arial" w:eastAsia="Times New Roman" w:hAnsi="Arial" w:cs="Times New Roman"/>
          <w:szCs w:val="20"/>
        </w:rPr>
      </w:pPr>
    </w:p>
    <w:p w14:paraId="7041E2EF" w14:textId="77777777" w:rsidR="00BE7513" w:rsidRPr="00883F0D" w:rsidRDefault="00BE7513" w:rsidP="00BE7513">
      <w:pPr>
        <w:keepNext/>
        <w:spacing w:after="0" w:line="240" w:lineRule="auto"/>
        <w:ind w:right="-144"/>
        <w:jc w:val="both"/>
        <w:outlineLvl w:val="4"/>
        <w:rPr>
          <w:rFonts w:eastAsia="Times New Roman" w:cs="Times New Roman"/>
          <w:szCs w:val="20"/>
          <w:u w:val="single"/>
        </w:rPr>
      </w:pPr>
      <w:r w:rsidRPr="00883F0D">
        <w:rPr>
          <w:rFonts w:eastAsia="Times New Roman" w:cs="Times New Roman"/>
          <w:szCs w:val="20"/>
          <w:u w:val="single"/>
        </w:rPr>
        <w:t>General Statement</w:t>
      </w:r>
    </w:p>
    <w:p w14:paraId="2AABDBF8" w14:textId="77777777" w:rsidR="00BE7513" w:rsidRPr="00883F0D" w:rsidRDefault="00BE7513" w:rsidP="00BE7513">
      <w:pPr>
        <w:spacing w:after="0" w:line="240" w:lineRule="auto"/>
        <w:ind w:right="-144"/>
        <w:jc w:val="both"/>
        <w:rPr>
          <w:rFonts w:eastAsia="Times New Roman" w:cs="Times New Roman"/>
          <w:szCs w:val="20"/>
        </w:rPr>
      </w:pPr>
    </w:p>
    <w:p w14:paraId="1E22775D" w14:textId="77777777" w:rsidR="00BE7513" w:rsidRPr="00883F0D" w:rsidRDefault="00ED306B" w:rsidP="00BE7513">
      <w:pPr>
        <w:spacing w:after="0" w:line="240" w:lineRule="auto"/>
        <w:ind w:right="-144"/>
        <w:jc w:val="both"/>
        <w:rPr>
          <w:rFonts w:eastAsia="Times New Roman" w:cs="Times New Roman"/>
          <w:szCs w:val="20"/>
        </w:rPr>
      </w:pPr>
      <w:r w:rsidRPr="00883F0D">
        <w:rPr>
          <w:rFonts w:eastAsia="Times New Roman" w:cs="Times New Roman"/>
          <w:szCs w:val="20"/>
        </w:rPr>
        <w:t>The above duties</w:t>
      </w:r>
      <w:r w:rsidR="00BE7513" w:rsidRPr="00883F0D">
        <w:rPr>
          <w:rFonts w:eastAsia="Times New Roman" w:cs="Times New Roman"/>
          <w:szCs w:val="20"/>
        </w:rPr>
        <w:t xml:space="preserve"> do not include or define all tasks that may be required</w:t>
      </w:r>
      <w:r w:rsidRPr="00883F0D">
        <w:rPr>
          <w:rFonts w:eastAsia="Times New Roman" w:cs="Times New Roman"/>
          <w:szCs w:val="20"/>
        </w:rPr>
        <w:t xml:space="preserve"> by the postholder.  The duties may </w:t>
      </w:r>
      <w:r w:rsidR="00BE7513" w:rsidRPr="00883F0D">
        <w:rPr>
          <w:rFonts w:eastAsia="Times New Roman" w:cs="Times New Roman"/>
          <w:szCs w:val="20"/>
        </w:rPr>
        <w:t>vary without changing the general character of the duties or the level of responsibility entailed.  These factors are reflected in the grading of the post.</w:t>
      </w:r>
    </w:p>
    <w:p w14:paraId="2B49DC17" w14:textId="77777777" w:rsidR="00BE7513" w:rsidRPr="00883F0D" w:rsidRDefault="00BE7513" w:rsidP="00BE7513">
      <w:pPr>
        <w:spacing w:after="0" w:line="240" w:lineRule="auto"/>
        <w:ind w:right="-144"/>
        <w:jc w:val="both"/>
        <w:rPr>
          <w:rFonts w:eastAsia="Times New Roman" w:cs="Times New Roman"/>
          <w:szCs w:val="20"/>
        </w:rPr>
      </w:pPr>
    </w:p>
    <w:p w14:paraId="4B8D25C3" w14:textId="77777777" w:rsidR="00BE7513" w:rsidRPr="00883F0D" w:rsidRDefault="00BE7513" w:rsidP="00BE7513">
      <w:pPr>
        <w:keepNext/>
        <w:spacing w:after="0" w:line="240" w:lineRule="auto"/>
        <w:ind w:right="-144"/>
        <w:jc w:val="both"/>
        <w:outlineLvl w:val="3"/>
        <w:rPr>
          <w:rFonts w:eastAsia="Times New Roman" w:cs="Times New Roman"/>
          <w:szCs w:val="20"/>
          <w:u w:val="single"/>
        </w:rPr>
      </w:pPr>
      <w:r w:rsidRPr="00883F0D">
        <w:rPr>
          <w:rFonts w:eastAsia="Times New Roman" w:cs="Times New Roman"/>
          <w:szCs w:val="20"/>
          <w:u w:val="single"/>
        </w:rPr>
        <w:lastRenderedPageBreak/>
        <w:t>Health and Safety at Work</w:t>
      </w:r>
    </w:p>
    <w:p w14:paraId="00EE87A7" w14:textId="77777777" w:rsidR="00BE7513" w:rsidRPr="00883F0D" w:rsidRDefault="00BE7513" w:rsidP="00BE7513">
      <w:pPr>
        <w:spacing w:after="0" w:line="240" w:lineRule="auto"/>
        <w:ind w:right="-144"/>
        <w:jc w:val="both"/>
        <w:rPr>
          <w:rFonts w:eastAsia="Times New Roman" w:cs="Times New Roman"/>
          <w:szCs w:val="20"/>
        </w:rPr>
      </w:pPr>
    </w:p>
    <w:p w14:paraId="59D6D507" w14:textId="77777777" w:rsidR="00BE7513" w:rsidRPr="00883F0D" w:rsidRDefault="00BE7513" w:rsidP="00BE7513">
      <w:pPr>
        <w:spacing w:after="0" w:line="240" w:lineRule="auto"/>
        <w:ind w:right="-144"/>
        <w:jc w:val="both"/>
        <w:rPr>
          <w:rFonts w:eastAsia="Times New Roman" w:cs="Times New Roman"/>
          <w:szCs w:val="20"/>
        </w:rPr>
      </w:pPr>
      <w:r w:rsidRPr="00883F0D">
        <w:rPr>
          <w:rFonts w:eastAsia="Times New Roman" w:cs="Times New Roman"/>
          <w:szCs w:val="20"/>
        </w:rPr>
        <w:t>The Health and Safety at Work Act stipulates that it is the responsibility of every employee to observe all rules governing health and safety and such safety equipment as provided must be used.</w:t>
      </w:r>
    </w:p>
    <w:p w14:paraId="21B752B3" w14:textId="77777777" w:rsidR="00BE7513" w:rsidRPr="00883F0D" w:rsidRDefault="00BE7513" w:rsidP="00BE7513">
      <w:pPr>
        <w:spacing w:after="0" w:line="240" w:lineRule="auto"/>
        <w:ind w:right="-144"/>
        <w:jc w:val="both"/>
        <w:rPr>
          <w:rFonts w:eastAsia="Times New Roman" w:cs="Times New Roman"/>
          <w:szCs w:val="20"/>
        </w:rPr>
      </w:pPr>
    </w:p>
    <w:p w14:paraId="10EC6436" w14:textId="77777777" w:rsidR="00BE7513" w:rsidRPr="00883F0D" w:rsidRDefault="00BE7513" w:rsidP="00BE7513">
      <w:pPr>
        <w:keepNext/>
        <w:spacing w:after="0" w:line="240" w:lineRule="auto"/>
        <w:ind w:right="-144"/>
        <w:jc w:val="both"/>
        <w:outlineLvl w:val="3"/>
        <w:rPr>
          <w:rFonts w:eastAsia="Times New Roman" w:cs="Times New Roman"/>
          <w:szCs w:val="20"/>
          <w:u w:val="single"/>
        </w:rPr>
      </w:pPr>
      <w:r w:rsidRPr="00883F0D">
        <w:rPr>
          <w:rFonts w:eastAsia="Times New Roman" w:cs="Times New Roman"/>
          <w:szCs w:val="20"/>
          <w:u w:val="single"/>
        </w:rPr>
        <w:t>Equal Opportunities</w:t>
      </w:r>
    </w:p>
    <w:p w14:paraId="57CD3485" w14:textId="77777777" w:rsidR="00BE7513" w:rsidRPr="00883F0D" w:rsidRDefault="00BE7513" w:rsidP="00BE7513">
      <w:pPr>
        <w:spacing w:after="0" w:line="240" w:lineRule="auto"/>
        <w:ind w:right="-144"/>
        <w:jc w:val="both"/>
        <w:rPr>
          <w:rFonts w:eastAsia="Times New Roman" w:cs="Times New Roman"/>
          <w:szCs w:val="20"/>
        </w:rPr>
      </w:pPr>
    </w:p>
    <w:p w14:paraId="7664C867" w14:textId="77777777" w:rsidR="00BE7513" w:rsidRPr="00883F0D" w:rsidRDefault="00BE7513" w:rsidP="00BE7513">
      <w:pPr>
        <w:spacing w:after="0" w:line="240" w:lineRule="auto"/>
        <w:ind w:right="-144"/>
        <w:jc w:val="both"/>
        <w:rPr>
          <w:rFonts w:eastAsia="Times New Roman" w:cs="Times New Roman"/>
          <w:szCs w:val="20"/>
        </w:rPr>
      </w:pPr>
      <w:r w:rsidRPr="00883F0D">
        <w:rPr>
          <w:rFonts w:eastAsia="Times New Roman" w:cs="Times New Roman"/>
          <w:szCs w:val="20"/>
        </w:rPr>
        <w:t xml:space="preserve">The Waste Disposal Authority is an Equal Opportunities Employer and has equal opportunities policies with which you are expected to </w:t>
      </w:r>
      <w:proofErr w:type="gramStart"/>
      <w:r w:rsidRPr="00883F0D">
        <w:rPr>
          <w:rFonts w:eastAsia="Times New Roman" w:cs="Times New Roman"/>
          <w:szCs w:val="20"/>
        </w:rPr>
        <w:t>comply at all times</w:t>
      </w:r>
      <w:proofErr w:type="gramEnd"/>
      <w:r w:rsidRPr="00883F0D">
        <w:rPr>
          <w:rFonts w:eastAsia="Times New Roman" w:cs="Times New Roman"/>
          <w:szCs w:val="20"/>
        </w:rPr>
        <w:t>.  The Authority condemns all forms of harassment and is actively seeking to promote a workplace where employees are treated with dignity, respect and without bias.</w:t>
      </w:r>
    </w:p>
    <w:p w14:paraId="1368FB73" w14:textId="77777777" w:rsidR="00BE7513" w:rsidRPr="00883F0D" w:rsidRDefault="00BE7513" w:rsidP="00BE7513">
      <w:pPr>
        <w:spacing w:after="0" w:line="240" w:lineRule="auto"/>
        <w:rPr>
          <w:rFonts w:eastAsia="Times New Roman" w:cs="Times New Roman"/>
          <w:szCs w:val="20"/>
        </w:rPr>
      </w:pPr>
    </w:p>
    <w:p w14:paraId="3D833123" w14:textId="77777777" w:rsidR="00883F0D" w:rsidRPr="00883F0D" w:rsidRDefault="00883F0D" w:rsidP="00883F0D">
      <w:pPr>
        <w:spacing w:after="0" w:line="240" w:lineRule="auto"/>
        <w:ind w:right="-144"/>
        <w:jc w:val="both"/>
        <w:rPr>
          <w:rFonts w:eastAsia="Times New Roman" w:cs="Times New Roman"/>
          <w:szCs w:val="20"/>
          <w:u w:val="single"/>
        </w:rPr>
      </w:pPr>
      <w:bookmarkStart w:id="3" w:name="_Hlk174543102"/>
      <w:r w:rsidRPr="00883F0D">
        <w:rPr>
          <w:rFonts w:eastAsia="Times New Roman" w:cs="Times New Roman"/>
          <w:szCs w:val="20"/>
          <w:u w:val="single"/>
        </w:rPr>
        <w:t>Risk Management</w:t>
      </w:r>
    </w:p>
    <w:p w14:paraId="6D00D4B1" w14:textId="77777777" w:rsidR="00883F0D" w:rsidRPr="00883F0D" w:rsidRDefault="00883F0D" w:rsidP="00883F0D">
      <w:pPr>
        <w:spacing w:after="0" w:line="240" w:lineRule="auto"/>
        <w:ind w:right="-144"/>
        <w:jc w:val="both"/>
        <w:rPr>
          <w:rFonts w:eastAsia="Times New Roman" w:cs="Times New Roman"/>
          <w:szCs w:val="20"/>
          <w:u w:val="single"/>
        </w:rPr>
      </w:pPr>
    </w:p>
    <w:p w14:paraId="5E14F97E" w14:textId="4290FCA9" w:rsidR="00147C7F" w:rsidRPr="00492356" w:rsidRDefault="00883F0D" w:rsidP="00883F0D">
      <w:pPr>
        <w:spacing w:after="0" w:line="240" w:lineRule="auto"/>
        <w:rPr>
          <w:rFonts w:eastAsia="Times New Roman" w:cs="Times New Roman"/>
          <w:szCs w:val="20"/>
        </w:rPr>
      </w:pPr>
      <w:r w:rsidRPr="00883F0D">
        <w:rPr>
          <w:rFonts w:eastAsia="Times New Roman" w:cs="Times New Roman"/>
          <w:szCs w:val="20"/>
        </w:rPr>
        <w:t xml:space="preserve">To support and contribute to the delivery of the Authority’s Risk Management Strategy and to effectively manage those strategic and operational risks for which the manager has responsibility. </w:t>
      </w:r>
    </w:p>
    <w:bookmarkEnd w:id="3"/>
    <w:p w14:paraId="1C3988C1" w14:textId="77777777" w:rsidR="0038253D" w:rsidRDefault="0038253D" w:rsidP="00883F0D">
      <w:pPr>
        <w:spacing w:after="0" w:line="240" w:lineRule="auto"/>
        <w:rPr>
          <w:rFonts w:eastAsia="Times New Roman" w:cs="Times New Roman"/>
          <w:szCs w:val="20"/>
          <w:u w:val="single"/>
        </w:rPr>
      </w:pPr>
    </w:p>
    <w:p w14:paraId="65B443B8" w14:textId="34BEF13D" w:rsidR="00883F0D" w:rsidRPr="00883F0D" w:rsidRDefault="00883F0D" w:rsidP="00883F0D">
      <w:pPr>
        <w:spacing w:after="0" w:line="240" w:lineRule="auto"/>
        <w:rPr>
          <w:rFonts w:eastAsia="Times New Roman" w:cs="Times New Roman"/>
          <w:szCs w:val="20"/>
          <w:u w:val="single"/>
        </w:rPr>
      </w:pPr>
      <w:r w:rsidRPr="00883F0D">
        <w:rPr>
          <w:rFonts w:eastAsia="Times New Roman" w:cs="Times New Roman"/>
          <w:szCs w:val="20"/>
          <w:u w:val="single"/>
        </w:rPr>
        <w:t>Sustainable Procurement</w:t>
      </w:r>
    </w:p>
    <w:p w14:paraId="4F96C7BA" w14:textId="77777777" w:rsidR="00883F0D" w:rsidRPr="00883F0D" w:rsidRDefault="00883F0D" w:rsidP="00883F0D">
      <w:pPr>
        <w:spacing w:after="0" w:line="240" w:lineRule="auto"/>
        <w:rPr>
          <w:rFonts w:eastAsia="Times New Roman" w:cs="Times New Roman"/>
          <w:szCs w:val="20"/>
          <w:u w:val="single"/>
        </w:rPr>
      </w:pPr>
    </w:p>
    <w:p w14:paraId="66791B43" w14:textId="77777777" w:rsidR="00883F0D" w:rsidRPr="00883F0D" w:rsidRDefault="00883F0D" w:rsidP="00883F0D">
      <w:pPr>
        <w:spacing w:after="0" w:line="240" w:lineRule="auto"/>
        <w:jc w:val="both"/>
        <w:rPr>
          <w:rFonts w:eastAsia="Times New Roman" w:cs="Times New Roman"/>
          <w:szCs w:val="20"/>
        </w:rPr>
      </w:pPr>
      <w:r w:rsidRPr="00883F0D">
        <w:rPr>
          <w:rFonts w:eastAsia="Times New Roman" w:cs="Times New Roman"/>
          <w:szCs w:val="20"/>
        </w:rPr>
        <w:t>To effectively requisition goods and services in line with the Authority’s sustainable procurement policy</w:t>
      </w:r>
    </w:p>
    <w:p w14:paraId="4F17BA5F" w14:textId="77777777" w:rsidR="00883F0D" w:rsidRPr="00883F0D" w:rsidRDefault="00883F0D" w:rsidP="00883F0D">
      <w:pPr>
        <w:spacing w:after="0" w:line="240" w:lineRule="auto"/>
        <w:jc w:val="both"/>
        <w:rPr>
          <w:rFonts w:eastAsia="Times New Roman" w:cs="Times New Roman"/>
          <w:szCs w:val="20"/>
        </w:rPr>
      </w:pPr>
    </w:p>
    <w:p w14:paraId="5C55B0F7" w14:textId="77777777" w:rsidR="00883F0D" w:rsidRPr="00883F0D" w:rsidRDefault="00883F0D" w:rsidP="00883F0D">
      <w:pPr>
        <w:spacing w:after="0" w:line="240" w:lineRule="auto"/>
        <w:jc w:val="both"/>
        <w:rPr>
          <w:rFonts w:ascii="Arial" w:eastAsia="Times New Roman" w:hAnsi="Arial" w:cs="Times New Roman"/>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2257"/>
        <w:gridCol w:w="2062"/>
        <w:gridCol w:w="2444"/>
      </w:tblGrid>
      <w:tr w:rsidR="009833C1" w:rsidRPr="00883F0D" w14:paraId="0D69D671" w14:textId="77777777" w:rsidTr="00147C7F">
        <w:tc>
          <w:tcPr>
            <w:tcW w:w="2310" w:type="dxa"/>
          </w:tcPr>
          <w:p w14:paraId="5E72E77E" w14:textId="77777777" w:rsidR="00883F0D" w:rsidRPr="00883F0D" w:rsidRDefault="00883F0D" w:rsidP="00883F0D">
            <w:pPr>
              <w:spacing w:after="0" w:line="240" w:lineRule="auto"/>
              <w:jc w:val="both"/>
              <w:rPr>
                <w:rFonts w:eastAsia="Times New Roman" w:cs="Times New Roman"/>
                <w:szCs w:val="20"/>
              </w:rPr>
            </w:pPr>
          </w:p>
        </w:tc>
        <w:tc>
          <w:tcPr>
            <w:tcW w:w="2310" w:type="dxa"/>
          </w:tcPr>
          <w:p w14:paraId="7927BEF6" w14:textId="77777777" w:rsidR="00883F0D" w:rsidRPr="00883F0D" w:rsidRDefault="00883F0D" w:rsidP="00883F0D">
            <w:pPr>
              <w:spacing w:after="0" w:line="240" w:lineRule="auto"/>
              <w:jc w:val="both"/>
              <w:rPr>
                <w:rFonts w:eastAsia="Times New Roman" w:cs="Times New Roman"/>
                <w:szCs w:val="20"/>
              </w:rPr>
            </w:pPr>
            <w:r w:rsidRPr="00883F0D">
              <w:rPr>
                <w:rFonts w:eastAsia="Times New Roman" w:cs="Times New Roman"/>
                <w:szCs w:val="20"/>
              </w:rPr>
              <w:t>Date</w:t>
            </w:r>
          </w:p>
        </w:tc>
        <w:tc>
          <w:tcPr>
            <w:tcW w:w="2118" w:type="dxa"/>
          </w:tcPr>
          <w:p w14:paraId="04D5DCAE" w14:textId="77777777" w:rsidR="00883F0D" w:rsidRPr="00883F0D" w:rsidRDefault="00883F0D" w:rsidP="00883F0D">
            <w:pPr>
              <w:spacing w:after="0" w:line="240" w:lineRule="auto"/>
              <w:jc w:val="both"/>
              <w:rPr>
                <w:rFonts w:eastAsia="Times New Roman" w:cs="Times New Roman"/>
                <w:szCs w:val="20"/>
              </w:rPr>
            </w:pPr>
            <w:r w:rsidRPr="00883F0D">
              <w:rPr>
                <w:rFonts w:eastAsia="Times New Roman" w:cs="Times New Roman"/>
                <w:szCs w:val="20"/>
              </w:rPr>
              <w:t>Name</w:t>
            </w:r>
          </w:p>
        </w:tc>
        <w:tc>
          <w:tcPr>
            <w:tcW w:w="2504" w:type="dxa"/>
          </w:tcPr>
          <w:p w14:paraId="1B7FB5B0" w14:textId="77777777" w:rsidR="00883F0D" w:rsidRPr="00883F0D" w:rsidRDefault="00883F0D" w:rsidP="00883F0D">
            <w:pPr>
              <w:spacing w:after="0" w:line="240" w:lineRule="auto"/>
              <w:jc w:val="both"/>
              <w:rPr>
                <w:rFonts w:eastAsia="Times New Roman" w:cs="Times New Roman"/>
                <w:szCs w:val="20"/>
              </w:rPr>
            </w:pPr>
            <w:proofErr w:type="gramStart"/>
            <w:r w:rsidRPr="00883F0D">
              <w:rPr>
                <w:rFonts w:eastAsia="Times New Roman" w:cs="Times New Roman"/>
                <w:szCs w:val="20"/>
              </w:rPr>
              <w:t>Post  Title</w:t>
            </w:r>
            <w:proofErr w:type="gramEnd"/>
          </w:p>
        </w:tc>
      </w:tr>
      <w:tr w:rsidR="009833C1" w:rsidRPr="00883F0D" w14:paraId="6D28819C" w14:textId="77777777" w:rsidTr="00147C7F">
        <w:tc>
          <w:tcPr>
            <w:tcW w:w="2310" w:type="dxa"/>
          </w:tcPr>
          <w:p w14:paraId="305454B0" w14:textId="77777777" w:rsidR="00883F0D" w:rsidRPr="00883F0D" w:rsidRDefault="00883F0D" w:rsidP="00883F0D">
            <w:pPr>
              <w:spacing w:after="0" w:line="240" w:lineRule="auto"/>
              <w:jc w:val="both"/>
              <w:rPr>
                <w:rFonts w:eastAsia="Times New Roman" w:cs="Times New Roman"/>
                <w:szCs w:val="20"/>
              </w:rPr>
            </w:pPr>
            <w:r>
              <w:rPr>
                <w:rFonts w:eastAsia="Times New Roman" w:cs="Times New Roman"/>
                <w:szCs w:val="20"/>
              </w:rPr>
              <w:t>Revised</w:t>
            </w:r>
          </w:p>
        </w:tc>
        <w:tc>
          <w:tcPr>
            <w:tcW w:w="2310" w:type="dxa"/>
          </w:tcPr>
          <w:p w14:paraId="2E41C126" w14:textId="4A983A15" w:rsidR="00883F0D" w:rsidRPr="00883F0D" w:rsidRDefault="00883F0D" w:rsidP="00E763C1">
            <w:pPr>
              <w:spacing w:after="0" w:line="240" w:lineRule="auto"/>
              <w:jc w:val="both"/>
              <w:rPr>
                <w:rFonts w:eastAsia="Times New Roman" w:cs="Times New Roman"/>
                <w:szCs w:val="20"/>
              </w:rPr>
            </w:pPr>
          </w:p>
        </w:tc>
        <w:tc>
          <w:tcPr>
            <w:tcW w:w="2118" w:type="dxa"/>
          </w:tcPr>
          <w:p w14:paraId="2B9BA726" w14:textId="253204CD" w:rsidR="00883F0D" w:rsidRPr="00883F0D" w:rsidRDefault="00883F0D" w:rsidP="00E763C1">
            <w:pPr>
              <w:spacing w:after="0" w:line="240" w:lineRule="auto"/>
              <w:jc w:val="both"/>
              <w:rPr>
                <w:rFonts w:eastAsia="Times New Roman" w:cs="Times New Roman"/>
                <w:szCs w:val="20"/>
              </w:rPr>
            </w:pPr>
          </w:p>
        </w:tc>
        <w:tc>
          <w:tcPr>
            <w:tcW w:w="2504" w:type="dxa"/>
          </w:tcPr>
          <w:p w14:paraId="0D681634" w14:textId="10D19509" w:rsidR="00883F0D" w:rsidRPr="00883F0D" w:rsidRDefault="00883F0D" w:rsidP="00883F0D">
            <w:pPr>
              <w:spacing w:after="0" w:line="240" w:lineRule="auto"/>
              <w:jc w:val="both"/>
              <w:rPr>
                <w:rFonts w:eastAsia="Times New Roman" w:cs="Times New Roman"/>
                <w:szCs w:val="20"/>
              </w:rPr>
            </w:pPr>
          </w:p>
        </w:tc>
      </w:tr>
      <w:tr w:rsidR="009833C1" w:rsidRPr="00883F0D" w14:paraId="41B79553" w14:textId="77777777" w:rsidTr="00147C7F">
        <w:tc>
          <w:tcPr>
            <w:tcW w:w="2310" w:type="dxa"/>
          </w:tcPr>
          <w:p w14:paraId="4F77F249" w14:textId="18CB1081" w:rsidR="00E763C1" w:rsidRDefault="00E763C1" w:rsidP="00883F0D">
            <w:pPr>
              <w:spacing w:after="0" w:line="240" w:lineRule="auto"/>
              <w:jc w:val="both"/>
              <w:rPr>
                <w:rFonts w:eastAsia="Times New Roman" w:cs="Times New Roman"/>
                <w:szCs w:val="20"/>
              </w:rPr>
            </w:pPr>
            <w:r>
              <w:rPr>
                <w:rFonts w:eastAsia="Times New Roman" w:cs="Times New Roman"/>
                <w:szCs w:val="20"/>
              </w:rPr>
              <w:t>Revised</w:t>
            </w:r>
          </w:p>
        </w:tc>
        <w:tc>
          <w:tcPr>
            <w:tcW w:w="2310" w:type="dxa"/>
          </w:tcPr>
          <w:p w14:paraId="4796CD76" w14:textId="541650D5" w:rsidR="00E763C1" w:rsidDel="00693054" w:rsidRDefault="009833C1" w:rsidP="00883F0D">
            <w:pPr>
              <w:spacing w:after="0" w:line="240" w:lineRule="auto"/>
              <w:jc w:val="both"/>
              <w:rPr>
                <w:rFonts w:eastAsia="Times New Roman" w:cs="Times New Roman"/>
                <w:szCs w:val="20"/>
              </w:rPr>
            </w:pPr>
            <w:r>
              <w:rPr>
                <w:rFonts w:eastAsia="Times New Roman" w:cs="Times New Roman"/>
                <w:szCs w:val="20"/>
              </w:rPr>
              <w:t>1</w:t>
            </w:r>
            <w:r w:rsidR="006F652A">
              <w:rPr>
                <w:rFonts w:eastAsia="Times New Roman" w:cs="Times New Roman"/>
                <w:szCs w:val="20"/>
              </w:rPr>
              <w:t>2</w:t>
            </w:r>
            <w:r w:rsidRPr="0026306E">
              <w:rPr>
                <w:rFonts w:eastAsia="Times New Roman" w:cs="Times New Roman"/>
                <w:szCs w:val="20"/>
                <w:vertAlign w:val="superscript"/>
              </w:rPr>
              <w:t>th</w:t>
            </w:r>
            <w:r>
              <w:rPr>
                <w:rFonts w:eastAsia="Times New Roman" w:cs="Times New Roman"/>
                <w:szCs w:val="20"/>
              </w:rPr>
              <w:t xml:space="preserve"> February 202</w:t>
            </w:r>
            <w:r w:rsidR="006F652A">
              <w:rPr>
                <w:rFonts w:eastAsia="Times New Roman" w:cs="Times New Roman"/>
                <w:szCs w:val="20"/>
              </w:rPr>
              <w:t>5</w:t>
            </w:r>
          </w:p>
        </w:tc>
        <w:tc>
          <w:tcPr>
            <w:tcW w:w="2118" w:type="dxa"/>
          </w:tcPr>
          <w:p w14:paraId="7F54F3C4" w14:textId="0852F2CC" w:rsidR="00E763C1" w:rsidDel="00693054" w:rsidRDefault="009833C1" w:rsidP="00883F0D">
            <w:pPr>
              <w:spacing w:after="0" w:line="240" w:lineRule="auto"/>
              <w:jc w:val="both"/>
              <w:rPr>
                <w:rFonts w:eastAsia="Times New Roman" w:cs="Times New Roman"/>
                <w:szCs w:val="20"/>
              </w:rPr>
            </w:pPr>
            <w:r>
              <w:rPr>
                <w:rFonts w:eastAsia="Times New Roman" w:cs="Times New Roman"/>
                <w:szCs w:val="20"/>
              </w:rPr>
              <w:t>Tony Byers</w:t>
            </w:r>
          </w:p>
        </w:tc>
        <w:tc>
          <w:tcPr>
            <w:tcW w:w="2504" w:type="dxa"/>
          </w:tcPr>
          <w:p w14:paraId="7918A67A" w14:textId="71392FA8" w:rsidR="00E763C1" w:rsidRDefault="009833C1" w:rsidP="00883F0D">
            <w:pPr>
              <w:spacing w:after="0" w:line="240" w:lineRule="auto"/>
              <w:jc w:val="both"/>
              <w:rPr>
                <w:rFonts w:eastAsia="Times New Roman" w:cs="Times New Roman"/>
                <w:szCs w:val="20"/>
              </w:rPr>
            </w:pPr>
            <w:r>
              <w:rPr>
                <w:rFonts w:eastAsia="Times New Roman" w:cs="Times New Roman"/>
                <w:szCs w:val="20"/>
              </w:rPr>
              <w:t>Estates</w:t>
            </w:r>
            <w:r w:rsidR="00E763C1">
              <w:rPr>
                <w:rFonts w:eastAsia="Times New Roman" w:cs="Times New Roman"/>
                <w:szCs w:val="20"/>
              </w:rPr>
              <w:t xml:space="preserve"> Manager</w:t>
            </w:r>
          </w:p>
        </w:tc>
      </w:tr>
    </w:tbl>
    <w:p w14:paraId="6656183C" w14:textId="77777777" w:rsidR="001B6980" w:rsidRPr="00BE7513" w:rsidRDefault="001B6980" w:rsidP="00BE7513">
      <w:pPr>
        <w:spacing w:after="0" w:line="240" w:lineRule="auto"/>
        <w:rPr>
          <w:b/>
        </w:rPr>
      </w:pPr>
    </w:p>
    <w:sectPr w:rsidR="001B6980" w:rsidRPr="00BE751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1ABE9" w14:textId="77777777" w:rsidR="007F4CBB" w:rsidRDefault="007F4CBB" w:rsidP="009833C1">
      <w:pPr>
        <w:spacing w:after="0" w:line="240" w:lineRule="auto"/>
      </w:pPr>
      <w:r>
        <w:separator/>
      </w:r>
    </w:p>
  </w:endnote>
  <w:endnote w:type="continuationSeparator" w:id="0">
    <w:p w14:paraId="676F46AE" w14:textId="77777777" w:rsidR="007F4CBB" w:rsidRDefault="007F4CBB" w:rsidP="0098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02E7" w14:textId="77777777" w:rsidR="0026306E" w:rsidRDefault="00263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884115"/>
      <w:docPartObj>
        <w:docPartGallery w:val="Page Numbers (Bottom of Page)"/>
        <w:docPartUnique/>
      </w:docPartObj>
    </w:sdtPr>
    <w:sdtEndPr/>
    <w:sdtContent>
      <w:sdt>
        <w:sdtPr>
          <w:id w:val="-1705238520"/>
          <w:docPartObj>
            <w:docPartGallery w:val="Page Numbers (Top of Page)"/>
            <w:docPartUnique/>
          </w:docPartObj>
        </w:sdtPr>
        <w:sdtEndPr/>
        <w:sdtContent>
          <w:p w14:paraId="1308B1AA" w14:textId="4B88D5DF" w:rsidR="009833C1" w:rsidRDefault="009833C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18FF89" w14:textId="77777777" w:rsidR="009833C1" w:rsidRDefault="00983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C6BC" w14:textId="77777777" w:rsidR="0026306E" w:rsidRDefault="00263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EEA0" w14:textId="77777777" w:rsidR="007F4CBB" w:rsidRDefault="007F4CBB" w:rsidP="009833C1">
      <w:pPr>
        <w:spacing w:after="0" w:line="240" w:lineRule="auto"/>
      </w:pPr>
      <w:r>
        <w:separator/>
      </w:r>
    </w:p>
  </w:footnote>
  <w:footnote w:type="continuationSeparator" w:id="0">
    <w:p w14:paraId="0AE15644" w14:textId="77777777" w:rsidR="007F4CBB" w:rsidRDefault="007F4CBB" w:rsidP="00983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A98E" w14:textId="77777777" w:rsidR="0026306E" w:rsidRDefault="00263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04002" w14:textId="2EC2B61D" w:rsidR="0026306E" w:rsidRDefault="00263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C2AF" w14:textId="77777777" w:rsidR="0026306E" w:rsidRDefault="00263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7138"/>
    <w:multiLevelType w:val="hybridMultilevel"/>
    <w:tmpl w:val="017C67D8"/>
    <w:lvl w:ilvl="0" w:tplc="8E3C2E5C">
      <w:start w:val="1"/>
      <w:numFmt w:val="decimal"/>
      <w:lvlText w:val="%1."/>
      <w:lvlJc w:val="left"/>
      <w:pPr>
        <w:ind w:left="1080" w:hanging="72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80EDB"/>
    <w:multiLevelType w:val="hybridMultilevel"/>
    <w:tmpl w:val="8E26D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2F67F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69552BC"/>
    <w:multiLevelType w:val="hybridMultilevel"/>
    <w:tmpl w:val="2CA649F8"/>
    <w:lvl w:ilvl="0" w:tplc="9A7E64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312CEE"/>
    <w:multiLevelType w:val="hybridMultilevel"/>
    <w:tmpl w:val="E56C2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3205C6"/>
    <w:multiLevelType w:val="hybridMultilevel"/>
    <w:tmpl w:val="61B02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D53E1"/>
    <w:multiLevelType w:val="hybridMultilevel"/>
    <w:tmpl w:val="E596409C"/>
    <w:lvl w:ilvl="0" w:tplc="70BEAD9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4191298">
    <w:abstractNumId w:val="2"/>
  </w:num>
  <w:num w:numId="2" w16cid:durableId="1937207814">
    <w:abstractNumId w:val="5"/>
  </w:num>
  <w:num w:numId="3" w16cid:durableId="1235775300">
    <w:abstractNumId w:val="0"/>
  </w:num>
  <w:num w:numId="4" w16cid:durableId="684477661">
    <w:abstractNumId w:val="4"/>
  </w:num>
  <w:num w:numId="5" w16cid:durableId="368720430">
    <w:abstractNumId w:val="1"/>
  </w:num>
  <w:num w:numId="6" w16cid:durableId="1464079829">
    <w:abstractNumId w:val="3"/>
  </w:num>
  <w:num w:numId="7" w16cid:durableId="2105884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13"/>
    <w:rsid w:val="000027E4"/>
    <w:rsid w:val="00002ACF"/>
    <w:rsid w:val="00053BF7"/>
    <w:rsid w:val="000852E0"/>
    <w:rsid w:val="000A529E"/>
    <w:rsid w:val="000B2C17"/>
    <w:rsid w:val="000C4507"/>
    <w:rsid w:val="000E1748"/>
    <w:rsid w:val="000E68D9"/>
    <w:rsid w:val="00115F98"/>
    <w:rsid w:val="00147C7F"/>
    <w:rsid w:val="00152DC4"/>
    <w:rsid w:val="001626CA"/>
    <w:rsid w:val="00163432"/>
    <w:rsid w:val="00172AC3"/>
    <w:rsid w:val="001876E5"/>
    <w:rsid w:val="001905E8"/>
    <w:rsid w:val="00191FE2"/>
    <w:rsid w:val="001B6980"/>
    <w:rsid w:val="001B7965"/>
    <w:rsid w:val="001D3297"/>
    <w:rsid w:val="001E3C7E"/>
    <w:rsid w:val="001E7260"/>
    <w:rsid w:val="00203E74"/>
    <w:rsid w:val="00242066"/>
    <w:rsid w:val="0026306E"/>
    <w:rsid w:val="002A0450"/>
    <w:rsid w:val="002C220A"/>
    <w:rsid w:val="0030083D"/>
    <w:rsid w:val="0031568E"/>
    <w:rsid w:val="0031767F"/>
    <w:rsid w:val="00317C0B"/>
    <w:rsid w:val="0037538C"/>
    <w:rsid w:val="0038253D"/>
    <w:rsid w:val="003A500B"/>
    <w:rsid w:val="003A71BF"/>
    <w:rsid w:val="003B6A5B"/>
    <w:rsid w:val="003C4906"/>
    <w:rsid w:val="003C69F7"/>
    <w:rsid w:val="003C79C7"/>
    <w:rsid w:val="003E3991"/>
    <w:rsid w:val="003E7488"/>
    <w:rsid w:val="003F54A8"/>
    <w:rsid w:val="0042069A"/>
    <w:rsid w:val="00461CDF"/>
    <w:rsid w:val="004625B9"/>
    <w:rsid w:val="004675C8"/>
    <w:rsid w:val="0048213C"/>
    <w:rsid w:val="00492356"/>
    <w:rsid w:val="004A4E46"/>
    <w:rsid w:val="004A71E2"/>
    <w:rsid w:val="004B32DF"/>
    <w:rsid w:val="004F693B"/>
    <w:rsid w:val="00535F6E"/>
    <w:rsid w:val="005426D9"/>
    <w:rsid w:val="00557355"/>
    <w:rsid w:val="00564CCC"/>
    <w:rsid w:val="00580CE6"/>
    <w:rsid w:val="005F6911"/>
    <w:rsid w:val="00693054"/>
    <w:rsid w:val="006A4059"/>
    <w:rsid w:val="006A57BA"/>
    <w:rsid w:val="006B1CB0"/>
    <w:rsid w:val="006D4A01"/>
    <w:rsid w:val="006D643D"/>
    <w:rsid w:val="006F0D21"/>
    <w:rsid w:val="006F652A"/>
    <w:rsid w:val="00741607"/>
    <w:rsid w:val="00752120"/>
    <w:rsid w:val="0075543B"/>
    <w:rsid w:val="00795741"/>
    <w:rsid w:val="007A0A1B"/>
    <w:rsid w:val="007D5E0A"/>
    <w:rsid w:val="007F4CBB"/>
    <w:rsid w:val="0080090C"/>
    <w:rsid w:val="008374A0"/>
    <w:rsid w:val="008519B0"/>
    <w:rsid w:val="008552C8"/>
    <w:rsid w:val="0086171B"/>
    <w:rsid w:val="00861F5E"/>
    <w:rsid w:val="00883F0D"/>
    <w:rsid w:val="00885494"/>
    <w:rsid w:val="00887F5B"/>
    <w:rsid w:val="008923AF"/>
    <w:rsid w:val="008A0948"/>
    <w:rsid w:val="008B1D2C"/>
    <w:rsid w:val="008D6A4A"/>
    <w:rsid w:val="008E73E1"/>
    <w:rsid w:val="008F69A9"/>
    <w:rsid w:val="0091365D"/>
    <w:rsid w:val="00916C0A"/>
    <w:rsid w:val="00920985"/>
    <w:rsid w:val="009366D9"/>
    <w:rsid w:val="00941338"/>
    <w:rsid w:val="00947066"/>
    <w:rsid w:val="00951C03"/>
    <w:rsid w:val="009768B5"/>
    <w:rsid w:val="009833C1"/>
    <w:rsid w:val="00983CE1"/>
    <w:rsid w:val="00991D59"/>
    <w:rsid w:val="009C019D"/>
    <w:rsid w:val="009F7881"/>
    <w:rsid w:val="00A10F79"/>
    <w:rsid w:val="00A51183"/>
    <w:rsid w:val="00A5413C"/>
    <w:rsid w:val="00A91A16"/>
    <w:rsid w:val="00A96D40"/>
    <w:rsid w:val="00AF67AD"/>
    <w:rsid w:val="00B071CA"/>
    <w:rsid w:val="00B2054A"/>
    <w:rsid w:val="00B20588"/>
    <w:rsid w:val="00B26BB3"/>
    <w:rsid w:val="00B62C8F"/>
    <w:rsid w:val="00B64194"/>
    <w:rsid w:val="00BB2D55"/>
    <w:rsid w:val="00BC611C"/>
    <w:rsid w:val="00BE1574"/>
    <w:rsid w:val="00BE7513"/>
    <w:rsid w:val="00C03256"/>
    <w:rsid w:val="00C363EB"/>
    <w:rsid w:val="00C52EB3"/>
    <w:rsid w:val="00C8068B"/>
    <w:rsid w:val="00C872E6"/>
    <w:rsid w:val="00CC6F1A"/>
    <w:rsid w:val="00CE7920"/>
    <w:rsid w:val="00CF0203"/>
    <w:rsid w:val="00D112F8"/>
    <w:rsid w:val="00D379B3"/>
    <w:rsid w:val="00D402D8"/>
    <w:rsid w:val="00D4712F"/>
    <w:rsid w:val="00D646DC"/>
    <w:rsid w:val="00D67440"/>
    <w:rsid w:val="00D84BC5"/>
    <w:rsid w:val="00D85B86"/>
    <w:rsid w:val="00D90828"/>
    <w:rsid w:val="00D9216F"/>
    <w:rsid w:val="00DB5890"/>
    <w:rsid w:val="00DD5C64"/>
    <w:rsid w:val="00E16066"/>
    <w:rsid w:val="00E26119"/>
    <w:rsid w:val="00E763C1"/>
    <w:rsid w:val="00E821F3"/>
    <w:rsid w:val="00E85AF9"/>
    <w:rsid w:val="00EB5A11"/>
    <w:rsid w:val="00ED13C3"/>
    <w:rsid w:val="00ED306B"/>
    <w:rsid w:val="00F11358"/>
    <w:rsid w:val="00F12606"/>
    <w:rsid w:val="00F2286F"/>
    <w:rsid w:val="00F24570"/>
    <w:rsid w:val="00F401CA"/>
    <w:rsid w:val="00F65366"/>
    <w:rsid w:val="00F90A87"/>
    <w:rsid w:val="00FA56BB"/>
    <w:rsid w:val="00FB1E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25DDD2"/>
  <w15:docId w15:val="{1003A110-8C67-43D7-994C-536BA8BF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13"/>
    <w:rPr>
      <w:rFonts w:ascii="Tahoma" w:hAnsi="Tahoma" w:cs="Tahoma"/>
      <w:sz w:val="16"/>
      <w:szCs w:val="16"/>
    </w:rPr>
  </w:style>
  <w:style w:type="table" w:styleId="TableGrid">
    <w:name w:val="Table Grid"/>
    <w:basedOn w:val="TableNormal"/>
    <w:uiPriority w:val="59"/>
    <w:rsid w:val="00BE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1C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872E6"/>
    <w:rPr>
      <w:sz w:val="16"/>
      <w:szCs w:val="16"/>
    </w:rPr>
  </w:style>
  <w:style w:type="paragraph" w:styleId="CommentText">
    <w:name w:val="annotation text"/>
    <w:basedOn w:val="Normal"/>
    <w:link w:val="CommentTextChar"/>
    <w:uiPriority w:val="99"/>
    <w:semiHidden/>
    <w:unhideWhenUsed/>
    <w:rsid w:val="00C872E6"/>
    <w:pPr>
      <w:spacing w:line="240" w:lineRule="auto"/>
    </w:pPr>
    <w:rPr>
      <w:sz w:val="20"/>
      <w:szCs w:val="20"/>
    </w:rPr>
  </w:style>
  <w:style w:type="character" w:customStyle="1" w:styleId="CommentTextChar">
    <w:name w:val="Comment Text Char"/>
    <w:basedOn w:val="DefaultParagraphFont"/>
    <w:link w:val="CommentText"/>
    <w:uiPriority w:val="99"/>
    <w:semiHidden/>
    <w:rsid w:val="00C872E6"/>
    <w:rPr>
      <w:sz w:val="20"/>
      <w:szCs w:val="20"/>
    </w:rPr>
  </w:style>
  <w:style w:type="paragraph" w:styleId="CommentSubject">
    <w:name w:val="annotation subject"/>
    <w:basedOn w:val="CommentText"/>
    <w:next w:val="CommentText"/>
    <w:link w:val="CommentSubjectChar"/>
    <w:uiPriority w:val="99"/>
    <w:semiHidden/>
    <w:unhideWhenUsed/>
    <w:rsid w:val="00C872E6"/>
    <w:rPr>
      <w:b/>
      <w:bCs/>
    </w:rPr>
  </w:style>
  <w:style w:type="character" w:customStyle="1" w:styleId="CommentSubjectChar">
    <w:name w:val="Comment Subject Char"/>
    <w:basedOn w:val="CommentTextChar"/>
    <w:link w:val="CommentSubject"/>
    <w:uiPriority w:val="99"/>
    <w:semiHidden/>
    <w:rsid w:val="00C872E6"/>
    <w:rPr>
      <w:b/>
      <w:bCs/>
      <w:sz w:val="20"/>
      <w:szCs w:val="20"/>
    </w:rPr>
  </w:style>
  <w:style w:type="paragraph" w:styleId="ListParagraph">
    <w:name w:val="List Paragraph"/>
    <w:basedOn w:val="Normal"/>
    <w:uiPriority w:val="34"/>
    <w:qFormat/>
    <w:rsid w:val="00B62C8F"/>
    <w:pPr>
      <w:spacing w:after="0" w:line="240" w:lineRule="auto"/>
      <w:ind w:left="720"/>
    </w:pPr>
    <w:rPr>
      <w:rFonts w:ascii="Arial" w:eastAsia="Times New Roman" w:hAnsi="Arial" w:cs="Times New Roman"/>
      <w:szCs w:val="20"/>
    </w:rPr>
  </w:style>
  <w:style w:type="paragraph" w:styleId="Revision">
    <w:name w:val="Revision"/>
    <w:hidden/>
    <w:uiPriority w:val="99"/>
    <w:semiHidden/>
    <w:rsid w:val="00EB5A11"/>
    <w:pPr>
      <w:spacing w:after="0" w:line="240" w:lineRule="auto"/>
    </w:pPr>
  </w:style>
  <w:style w:type="paragraph" w:styleId="Header">
    <w:name w:val="header"/>
    <w:basedOn w:val="Normal"/>
    <w:link w:val="HeaderChar"/>
    <w:uiPriority w:val="99"/>
    <w:unhideWhenUsed/>
    <w:rsid w:val="00983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3C1"/>
  </w:style>
  <w:style w:type="paragraph" w:styleId="Footer">
    <w:name w:val="footer"/>
    <w:basedOn w:val="Normal"/>
    <w:link w:val="FooterChar"/>
    <w:uiPriority w:val="99"/>
    <w:unhideWhenUsed/>
    <w:rsid w:val="00983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7AB7-8235-4F05-9E50-BC3EB6FB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Pocock, Paula</dc:creator>
  <cp:lastModifiedBy>Byers, Tony</cp:lastModifiedBy>
  <cp:revision>5</cp:revision>
  <cp:lastPrinted>2019-04-02T10:53:00Z</cp:lastPrinted>
  <dcterms:created xsi:type="dcterms:W3CDTF">2025-06-16T12:55:00Z</dcterms:created>
  <dcterms:modified xsi:type="dcterms:W3CDTF">2025-06-16T13:04:00Z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2024-08-14T13:36:09Z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00f6fd65-f589-41da-aa8b-98d30c22c1d2</vt:lpwstr>
  </property>
  <property fmtid="{D5CDD505-2E9C-101B-9397-08002B2CF9AE}" pid="7" name="MSIP_Label_defa4170-0d19-0005-0004-bc88714345d2_ActionId">
    <vt:lpwstr>85e9a135-f459-4a56-8405-42a2e18a6de5</vt:lpwstr>
  </property>
  <property fmtid="{D5CDD505-2E9C-101B-9397-08002B2CF9AE}" pid="8" name="MSIP_Label_defa4170-0d19-0005-0004-bc88714345d2_ContentBits">
    <vt:lpwstr>0</vt:lpwstr>
  </property>
</Properties>
</file>