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B15B3" w14:textId="2EE35802" w:rsidR="004A7E0A" w:rsidRDefault="00FE2636" w:rsidP="004701E7">
      <w:pPr>
        <w:pStyle w:val="Title"/>
      </w:pPr>
      <w:r>
        <w:fldChar w:fldCharType="begin"/>
      </w:r>
      <w:r>
        <w:instrText xml:space="preserve"> DOCPROPERTY  Title \* MERGEFORMAT </w:instrText>
      </w:r>
      <w:r>
        <w:fldChar w:fldCharType="separate"/>
      </w:r>
      <w:r>
        <w:t>Treasury Management Strategy Statement 2021/22; Annual Revenue Provision Policy Statement; Annual Investment Strategy; Treasury Management and Prudential Indicators; and Capital Strategy</w:t>
      </w:r>
      <w:r>
        <w:fldChar w:fldCharType="end"/>
      </w:r>
    </w:p>
    <w:p w14:paraId="43EC3D15" w14:textId="479B5993" w:rsidR="004A7E0A" w:rsidRDefault="004A7E0A" w:rsidP="004701E7">
      <w:pPr>
        <w:pStyle w:val="Reference"/>
      </w:pPr>
    </w:p>
    <w:p w14:paraId="58F02C4A" w14:textId="77777777" w:rsidR="004A7E0A" w:rsidRDefault="004A7E0A"/>
    <w:p w14:paraId="10DFEEAC" w14:textId="30E74EC7" w:rsidR="004A7E0A" w:rsidRDefault="004A7E0A"/>
    <w:p w14:paraId="79D40383" w14:textId="77777777" w:rsidR="004A7E0A" w:rsidRDefault="004A7E0A"/>
    <w:p w14:paraId="5597C049" w14:textId="77777777" w:rsidR="004A7E0A" w:rsidRDefault="004A7E0A" w:rsidP="00E346F9">
      <w:pPr>
        <w:pStyle w:val="Headingnonum"/>
      </w:pPr>
      <w:r w:rsidRPr="004A7E0A">
        <w:t>Recommendation</w:t>
      </w:r>
    </w:p>
    <w:p w14:paraId="39B88890" w14:textId="77777777" w:rsidR="00311655" w:rsidRDefault="00311655" w:rsidP="00311655"/>
    <w:p w14:paraId="775BC032" w14:textId="77777777" w:rsidR="00311655" w:rsidRDefault="00311655" w:rsidP="00311655">
      <w:pPr>
        <w:ind w:left="510"/>
      </w:pPr>
      <w:r>
        <w:t>That</w:t>
      </w:r>
      <w:r w:rsidR="004D0A57">
        <w:t xml:space="preserve"> Members</w:t>
      </w:r>
      <w:r>
        <w:t>:</w:t>
      </w:r>
    </w:p>
    <w:p w14:paraId="15E92DBC" w14:textId="77777777" w:rsidR="00311655" w:rsidRPr="00311655" w:rsidRDefault="00311655" w:rsidP="00311655"/>
    <w:p w14:paraId="2D8C4A9B" w14:textId="77777777" w:rsidR="00311655" w:rsidRDefault="00E025E1" w:rsidP="00311655">
      <w:pPr>
        <w:pStyle w:val="ListNumber"/>
      </w:pPr>
      <w:r>
        <w:t>c</w:t>
      </w:r>
      <w:r w:rsidR="004D0A57">
        <w:t xml:space="preserve">onsider the report attached at Appendix 1; </w:t>
      </w:r>
    </w:p>
    <w:p w14:paraId="7A16F6D2" w14:textId="77777777" w:rsidR="00E025E1" w:rsidRDefault="00E025E1" w:rsidP="00E025E1">
      <w:pPr>
        <w:pStyle w:val="ListNumber"/>
        <w:numPr>
          <w:ilvl w:val="0"/>
          <w:numId w:val="0"/>
        </w:numPr>
        <w:ind w:left="850"/>
      </w:pPr>
    </w:p>
    <w:p w14:paraId="5E07C050" w14:textId="22610821" w:rsidR="00493E79" w:rsidRDefault="00E025E1" w:rsidP="00311655">
      <w:pPr>
        <w:pStyle w:val="ListNumber"/>
      </w:pPr>
      <w:r>
        <w:t>a</w:t>
      </w:r>
      <w:r w:rsidR="004D0A57">
        <w:t xml:space="preserve">pprove the Treasury Management Strategy </w:t>
      </w:r>
      <w:r w:rsidR="009A7584">
        <w:t>202</w:t>
      </w:r>
      <w:r w:rsidR="00FE2636">
        <w:t>1</w:t>
      </w:r>
      <w:r w:rsidR="006914E2">
        <w:t>/2</w:t>
      </w:r>
      <w:r w:rsidR="00FE2636">
        <w:t>2</w:t>
      </w:r>
      <w:r w:rsidR="004D0A57">
        <w:t>; the Annual Revenue Provision Policy Statement; the Annual Investment Strategy; and the Treasury Management and Prudential Indicators as set out in the report at Appendix 1</w:t>
      </w:r>
      <w:r w:rsidR="00650407">
        <w:t>;</w:t>
      </w:r>
    </w:p>
    <w:p w14:paraId="6A6997CC" w14:textId="77777777" w:rsidR="00E025E1" w:rsidRPr="00E025E1" w:rsidRDefault="00E025E1" w:rsidP="00E025E1">
      <w:pPr>
        <w:pStyle w:val="ListNumber"/>
        <w:numPr>
          <w:ilvl w:val="0"/>
          <w:numId w:val="0"/>
        </w:numPr>
        <w:rPr>
          <w:rStyle w:val="TipsChar"/>
          <w:color w:val="auto"/>
        </w:rPr>
      </w:pPr>
    </w:p>
    <w:p w14:paraId="6FF16C09" w14:textId="77777777" w:rsidR="00E025E1" w:rsidRPr="00E025E1" w:rsidRDefault="00E025E1" w:rsidP="00E025E1">
      <w:pPr>
        <w:pStyle w:val="ListNumber"/>
        <w:rPr>
          <w:rStyle w:val="TipsChar"/>
          <w:color w:val="auto"/>
        </w:rPr>
      </w:pPr>
      <w:r>
        <w:rPr>
          <w:rStyle w:val="TipsChar"/>
          <w:color w:val="auto"/>
        </w:rPr>
        <w:t>delegate</w:t>
      </w:r>
      <w:r w:rsidRPr="00E025E1">
        <w:rPr>
          <w:rStyle w:val="TipsChar"/>
          <w:color w:val="auto"/>
        </w:rPr>
        <w:t xml:space="preserve"> to the Treasurer, within the total limit for each year, </w:t>
      </w:r>
      <w:r>
        <w:rPr>
          <w:rStyle w:val="TipsChar"/>
          <w:color w:val="auto"/>
        </w:rPr>
        <w:t xml:space="preserve">authority </w:t>
      </w:r>
      <w:r w:rsidRPr="00E025E1">
        <w:rPr>
          <w:rStyle w:val="TipsChar"/>
          <w:color w:val="auto"/>
        </w:rPr>
        <w:t>to effect movements between the separately agreed prudential indicator limits in accordance with option appraisal and best value for money for the Authority;</w:t>
      </w:r>
      <w:r w:rsidR="00303378" w:rsidRPr="00303378">
        <w:rPr>
          <w:rStyle w:val="TipsChar"/>
          <w:color w:val="auto"/>
        </w:rPr>
        <w:t xml:space="preserve"> </w:t>
      </w:r>
      <w:r w:rsidR="00303378" w:rsidRPr="00E025E1">
        <w:rPr>
          <w:rStyle w:val="TipsChar"/>
          <w:color w:val="auto"/>
        </w:rPr>
        <w:t>and</w:t>
      </w:r>
    </w:p>
    <w:p w14:paraId="1BCA89EF" w14:textId="77777777" w:rsidR="00E025E1" w:rsidRPr="00E025E1" w:rsidRDefault="00E025E1" w:rsidP="00E025E1">
      <w:pPr>
        <w:pStyle w:val="ListNumber"/>
        <w:numPr>
          <w:ilvl w:val="0"/>
          <w:numId w:val="0"/>
        </w:numPr>
        <w:ind w:left="1634"/>
        <w:rPr>
          <w:rStyle w:val="TipsChar"/>
          <w:color w:val="auto"/>
        </w:rPr>
      </w:pPr>
    </w:p>
    <w:p w14:paraId="441A689F" w14:textId="4F0AE90D" w:rsidR="00E025E1" w:rsidRPr="00E025E1" w:rsidRDefault="00E025E1" w:rsidP="00E025E1">
      <w:pPr>
        <w:pStyle w:val="ListNumber"/>
        <w:rPr>
          <w:rStyle w:val="TipsChar"/>
          <w:color w:val="auto"/>
        </w:rPr>
      </w:pPr>
      <w:r w:rsidRPr="00E025E1">
        <w:rPr>
          <w:rStyle w:val="TipsChar"/>
          <w:color w:val="auto"/>
        </w:rPr>
        <w:t>delegate to the Treasurer</w:t>
      </w:r>
      <w:r w:rsidR="0050399F">
        <w:rPr>
          <w:rStyle w:val="TipsChar"/>
          <w:color w:val="auto"/>
        </w:rPr>
        <w:t>,</w:t>
      </w:r>
      <w:r w:rsidRPr="00E025E1">
        <w:rPr>
          <w:rStyle w:val="TipsChar"/>
          <w:color w:val="auto"/>
        </w:rPr>
        <w:t xml:space="preserve"> </w:t>
      </w:r>
      <w:r>
        <w:rPr>
          <w:rStyle w:val="TipsChar"/>
          <w:color w:val="auto"/>
        </w:rPr>
        <w:t xml:space="preserve">authority </w:t>
      </w:r>
      <w:r w:rsidRPr="00E025E1">
        <w:rPr>
          <w:rStyle w:val="TipsChar"/>
          <w:color w:val="auto"/>
        </w:rPr>
        <w:t>to effect movements between borrowing and other long</w:t>
      </w:r>
      <w:r w:rsidR="004E2A79">
        <w:rPr>
          <w:rStyle w:val="TipsChar"/>
          <w:color w:val="auto"/>
        </w:rPr>
        <w:t>-</w:t>
      </w:r>
      <w:r w:rsidRPr="00E025E1">
        <w:rPr>
          <w:rStyle w:val="TipsChar"/>
          <w:color w:val="auto"/>
        </w:rPr>
        <w:t>term liabilities sums under the framework of the Prudential Code</w:t>
      </w:r>
      <w:r w:rsidR="00650407">
        <w:rPr>
          <w:rStyle w:val="TipsChar"/>
          <w:color w:val="auto"/>
        </w:rPr>
        <w:t>.</w:t>
      </w:r>
    </w:p>
    <w:p w14:paraId="442C6A96" w14:textId="77777777" w:rsidR="004A7E0A" w:rsidRDefault="004A7E0A"/>
    <w:p w14:paraId="7701D9A0" w14:textId="77777777" w:rsidR="004A7E0A" w:rsidRDefault="00493E79">
      <w:r>
        <w:br w:type="page"/>
      </w:r>
    </w:p>
    <w:p w14:paraId="1D06C6DD" w14:textId="77777777" w:rsidR="004A7E0A" w:rsidRDefault="004A7E0A"/>
    <w:p w14:paraId="2807C9F4" w14:textId="77777777" w:rsidR="004A7E0A" w:rsidRDefault="004A7E0A"/>
    <w:p w14:paraId="4DDB5BEC" w14:textId="77777777" w:rsidR="004A7E0A" w:rsidRDefault="004A7E0A"/>
    <w:p w14:paraId="7362551B" w14:textId="77777777" w:rsidR="00283990" w:rsidRDefault="00283990"/>
    <w:p w14:paraId="1E67EDFD" w14:textId="77777777" w:rsidR="00283990" w:rsidRDefault="00283990"/>
    <w:p w14:paraId="1421BC15" w14:textId="77777777" w:rsidR="00283990" w:rsidRDefault="00283990"/>
    <w:p w14:paraId="6D393BCE" w14:textId="77777777" w:rsidR="00283990" w:rsidRDefault="00283990"/>
    <w:p w14:paraId="47B8474B" w14:textId="77777777" w:rsidR="00283990" w:rsidRDefault="00283990"/>
    <w:p w14:paraId="0393F306" w14:textId="77777777" w:rsidR="00DA3FF8" w:rsidRDefault="00DA3FF8"/>
    <w:p w14:paraId="5DDEDA6F" w14:textId="77777777" w:rsidR="00283990" w:rsidRDefault="00283990"/>
    <w:p w14:paraId="496EC970" w14:textId="77777777" w:rsidR="00283990" w:rsidRDefault="00283990"/>
    <w:p w14:paraId="3A32A3DB" w14:textId="77777777" w:rsidR="00283990" w:rsidRDefault="00283990"/>
    <w:p w14:paraId="43C4DE0D" w14:textId="77777777" w:rsidR="00283990" w:rsidRDefault="00283990"/>
    <w:p w14:paraId="72877C3A" w14:textId="77777777" w:rsidR="00283990" w:rsidRDefault="00283990"/>
    <w:p w14:paraId="52B59F4D" w14:textId="77777777" w:rsidR="00283990" w:rsidRDefault="00283990"/>
    <w:p w14:paraId="1CAD2BE9" w14:textId="77777777" w:rsidR="00283990" w:rsidRDefault="00283990"/>
    <w:p w14:paraId="3A7A4271" w14:textId="77777777" w:rsidR="00283990" w:rsidRDefault="00283990"/>
    <w:p w14:paraId="7F53B6BF" w14:textId="77777777" w:rsidR="00283990" w:rsidRDefault="00283990"/>
    <w:p w14:paraId="4996CB73" w14:textId="77777777" w:rsidR="004A7E0A" w:rsidRDefault="004A7E0A" w:rsidP="00283990">
      <w:pPr>
        <w:jc w:val="center"/>
      </w:pPr>
      <w:r>
        <w:t>THIS PAGE INTENTIONALLY BLANK</w:t>
      </w:r>
    </w:p>
    <w:p w14:paraId="3907E39A" w14:textId="497E712A" w:rsidR="00493E79" w:rsidRDefault="004A7E0A" w:rsidP="005B47A2">
      <w:pPr>
        <w:pStyle w:val="Headingnonum"/>
      </w:pPr>
      <w:r>
        <w:br w:type="page"/>
      </w:r>
      <w:bookmarkStart w:id="0" w:name="PublicPrivate"/>
      <w:r w:rsidR="00FE2636">
        <w:lastRenderedPageBreak/>
        <w:t xml:space="preserve"> </w:t>
      </w:r>
      <w:bookmarkEnd w:id="0"/>
    </w:p>
    <w:p w14:paraId="7EB36934" w14:textId="24E07EA3" w:rsidR="005B47A2" w:rsidRPr="005B47A2" w:rsidRDefault="00FE2636" w:rsidP="005B47A2">
      <w:pPr>
        <w:pStyle w:val="Heading2"/>
      </w:pPr>
      <w:bookmarkStart w:id="1" w:name="Reason"/>
      <w:r>
        <w:t xml:space="preserve"> </w:t>
      </w:r>
      <w:bookmarkEnd w:id="1"/>
    </w:p>
    <w:p w14:paraId="43D7DD10" w14:textId="2F7EDAF5" w:rsidR="00016F38" w:rsidRDefault="00C66668" w:rsidP="00016F38">
      <w:pPr>
        <w:pStyle w:val="Title"/>
      </w:pPr>
      <w:r>
        <w:fldChar w:fldCharType="begin"/>
      </w:r>
      <w:r>
        <w:instrText xml:space="preserve"> DOCPROPERTY  Title \* MERGEFORMAT </w:instrText>
      </w:r>
      <w:r>
        <w:fldChar w:fldCharType="separate"/>
      </w:r>
      <w:r w:rsidR="00FE2636">
        <w:t>Treasury Management Strategy Statement 2021/22; Annual Revenue Provision Policy Statement; Annual Investment Strategy; Treasury Management and Prudential Indicators; and Capital Strategy</w:t>
      </w:r>
      <w:r>
        <w:fldChar w:fldCharType="end"/>
      </w:r>
    </w:p>
    <w:p w14:paraId="4B487B50" w14:textId="09D9567D" w:rsidR="00016F38" w:rsidRDefault="004E2A79" w:rsidP="00016F38">
      <w:pPr>
        <w:pStyle w:val="Reference"/>
      </w:pPr>
      <w:r>
        <w:t>WDA/</w:t>
      </w:r>
      <w:r w:rsidR="006106A8">
        <w:t>0</w:t>
      </w:r>
      <w:r w:rsidR="00C66668">
        <w:t>3</w:t>
      </w:r>
      <w:r>
        <w:t>/2021</w:t>
      </w:r>
    </w:p>
    <w:p w14:paraId="36AF975C" w14:textId="77777777" w:rsidR="00681FBD" w:rsidRDefault="00681FBD"/>
    <w:p w14:paraId="094E8276" w14:textId="4EAEACB2" w:rsidR="00681FBD" w:rsidRPr="008D7199" w:rsidRDefault="00A90EA7" w:rsidP="005B47A2">
      <w:pPr>
        <w:pStyle w:val="Headingnonum"/>
        <w:jc w:val="center"/>
      </w:pPr>
      <w:r w:rsidRPr="008D7199">
        <w:t xml:space="preserve">Report of </w:t>
      </w:r>
      <w:r w:rsidR="006876D8">
        <w:t xml:space="preserve">the </w:t>
      </w:r>
      <w:r w:rsidR="00C66668">
        <w:fldChar w:fldCharType="begin"/>
      </w:r>
      <w:r w:rsidR="00C66668">
        <w:instrText xml:space="preserve"> DOCPROPERTY  ReportOriginator \* MERGEFORMAT </w:instrText>
      </w:r>
      <w:r w:rsidR="00C66668">
        <w:fldChar w:fldCharType="separate"/>
      </w:r>
      <w:r w:rsidR="00FE2636">
        <w:t>Treasurer</w:t>
      </w:r>
      <w:r w:rsidR="00C66668">
        <w:fldChar w:fldCharType="end"/>
      </w:r>
    </w:p>
    <w:p w14:paraId="23EF9AC5" w14:textId="77777777" w:rsidR="00681FBD" w:rsidRDefault="00681FBD"/>
    <w:p w14:paraId="3A11505B" w14:textId="77777777" w:rsidR="004701E7" w:rsidRDefault="004701E7" w:rsidP="00903EC6">
      <w:pPr>
        <w:pStyle w:val="Heading1"/>
        <w:tabs>
          <w:tab w:val="clear" w:pos="357"/>
          <w:tab w:val="num" w:pos="777"/>
        </w:tabs>
      </w:pPr>
      <w:r>
        <w:t>Purpose of the Report</w:t>
      </w:r>
    </w:p>
    <w:p w14:paraId="45449643" w14:textId="77777777" w:rsidR="009F0374" w:rsidRPr="008D7199" w:rsidRDefault="00034F22" w:rsidP="00903EC6">
      <w:pPr>
        <w:pStyle w:val="Bodytextnumbered"/>
        <w:tabs>
          <w:tab w:val="clear" w:pos="1077"/>
          <w:tab w:val="num" w:pos="2468"/>
        </w:tabs>
      </w:pPr>
      <w:r>
        <w:t>The Local Government Act 2003 (the Act) and the framework established by CIPFA through its Prudential Code requires the Authority to set Prudential and Treasury Indicators for each of the next three years to ensure the Authority’s capital investment plans are affordable, prudent and sustainable. The Act also requires the Authority to set out its Treasury Strategy for borrowing and to prepare an Annual Investment Strategy that sets out its policies for managing its investments and the priority given to th</w:t>
      </w:r>
      <w:r w:rsidR="004D0A57">
        <w:t>e security and liquidity of tho</w:t>
      </w:r>
      <w:r>
        <w:t xml:space="preserve">se investments. This report and its appendix enable the </w:t>
      </w:r>
      <w:r w:rsidR="0050399F">
        <w:t xml:space="preserve">Authority </w:t>
      </w:r>
      <w:r>
        <w:t>to consider and approve each of these elements</w:t>
      </w:r>
      <w:r w:rsidR="00825163">
        <w:t>.</w:t>
      </w:r>
    </w:p>
    <w:p w14:paraId="7345750F" w14:textId="77777777" w:rsidR="004701E7" w:rsidRDefault="004701E7" w:rsidP="00903EC6">
      <w:pPr>
        <w:pStyle w:val="Heading1"/>
        <w:tabs>
          <w:tab w:val="clear" w:pos="357"/>
          <w:tab w:val="num" w:pos="1197"/>
        </w:tabs>
      </w:pPr>
      <w:r>
        <w:t>Background</w:t>
      </w:r>
    </w:p>
    <w:p w14:paraId="4AA8AFCB" w14:textId="312E35A3" w:rsidR="008D7199" w:rsidRDefault="000D7A22" w:rsidP="00903EC6">
      <w:pPr>
        <w:pStyle w:val="Bodytextnumbered"/>
        <w:tabs>
          <w:tab w:val="clear" w:pos="1077"/>
          <w:tab w:val="num" w:pos="1917"/>
        </w:tabs>
      </w:pPr>
      <w:r>
        <w:rPr>
          <w:noProof/>
        </w:rPr>
        <mc:AlternateContent>
          <mc:Choice Requires="wps">
            <w:drawing>
              <wp:anchor distT="0" distB="0" distL="114300" distR="114300" simplePos="0" relativeHeight="251657728" behindDoc="0" locked="0" layoutInCell="1" allowOverlap="0" wp14:anchorId="4B8C9773" wp14:editId="6B9AE753">
                <wp:simplePos x="0" y="0"/>
                <wp:positionH relativeFrom="page">
                  <wp:posOffset>590550</wp:posOffset>
                </wp:positionH>
                <wp:positionV relativeFrom="margin">
                  <wp:posOffset>8643620</wp:posOffset>
                </wp:positionV>
                <wp:extent cx="5881370" cy="7143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2" w:name="MeetingType"/>
                          <w:p w14:paraId="37A1D5C3" w14:textId="66B1BE56" w:rsidR="00BA1CBE" w:rsidRDefault="00BA1CBE" w:rsidP="00283990">
                            <w:pPr>
                              <w:pStyle w:val="Headingnonum"/>
                            </w:pPr>
                            <w:r>
                              <w:fldChar w:fldCharType="begin"/>
                            </w:r>
                            <w:r>
                              <w:instrText xml:space="preserve"> DOCPROPERTY  MeetingType \* MERGEFORMAT </w:instrText>
                            </w:r>
                            <w:r>
                              <w:fldChar w:fldCharType="separate"/>
                            </w:r>
                            <w:r w:rsidR="00FE2636">
                              <w:t>Merseyside Waste Disposal Authority</w:t>
                            </w:r>
                            <w:r>
                              <w:fldChar w:fldCharType="end"/>
                            </w:r>
                          </w:p>
                          <w:p w14:paraId="569260F2" w14:textId="3F990D79" w:rsidR="00BA1CBE" w:rsidRDefault="006106A8" w:rsidP="00283990">
                            <w:pPr>
                              <w:pStyle w:val="Headingnonum"/>
                            </w:pPr>
                            <w:fldSimple w:instr=" DOCPROPERTY  Date \* MERGEFORMAT ">
                              <w:r w:rsidR="00FE2636">
                                <w:t>5th February 2021</w:t>
                              </w:r>
                            </w:fldSimple>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C9773" id="_x0000_t202" coordsize="21600,21600" o:spt="202" path="m,l,21600r21600,l21600,xe">
                <v:stroke joinstyle="miter"/>
                <v:path gradientshapeok="t" o:connecttype="rect"/>
              </v:shapetype>
              <v:shape id="Text Box 2" o:spid="_x0000_s1026" type="#_x0000_t202" style="position:absolute;left:0;text-align:left;margin-left:46.5pt;margin-top:680.6pt;width:463.1pt;height:5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" o:allowoverlap="f" filled="f" stroked="f">
                <v:textbox>
                  <w:txbxContent>
                    <w:bookmarkStart w:id="7" w:name="MeetingType"/>
                    <w:p w14:paraId="37A1D5C3" w14:textId="66B1BE56" w:rsidR="00BA1CBE" w:rsidRDefault="00BA1CBE" w:rsidP="00283990">
                      <w:pPr>
                        <w:pStyle w:val="Headingnonum"/>
                      </w:pPr>
                      <w:r>
                        <w:fldChar w:fldCharType="begin"/>
                      </w:r>
                      <w:r>
                        <w:instrText xml:space="preserve"> DOCPROPERTY  MeetingType \* MERGEFORMAT </w:instrText>
                      </w:r>
                      <w:r>
                        <w:fldChar w:fldCharType="separate"/>
                      </w:r>
                      <w:r w:rsidR="00FE2636">
                        <w:t>Merseyside Waste Disposal Authority</w:t>
                      </w:r>
                      <w:r>
                        <w:fldChar w:fldCharType="end"/>
                      </w:r>
                    </w:p>
                    <w:p w14:paraId="569260F2" w14:textId="3F990D79" w:rsidR="00BA1CBE" w:rsidRDefault="004F378C" w:rsidP="00283990">
                      <w:pPr>
                        <w:pStyle w:val="Headingnonum"/>
                      </w:pPr>
                      <w:r>
                        <w:fldChar w:fldCharType="begin"/>
                      </w:r>
                      <w:r>
                        <w:instrText xml:space="preserve"> DOCPROPERTY  Date \* MERGEFORMAT </w:instrText>
                      </w:r>
                      <w:r>
                        <w:fldChar w:fldCharType="separate"/>
                      </w:r>
                      <w:r w:rsidR="00FE2636">
                        <w:t>5th February 2021</w:t>
                      </w:r>
                      <w:r>
                        <w:fldChar w:fldCharType="end"/>
                      </w:r>
                      <w:bookmarkEnd w:id="7"/>
                    </w:p>
                  </w:txbxContent>
                </v:textbox>
                <w10:wrap anchorx="page" anchory="margin"/>
              </v:shape>
            </w:pict>
          </mc:Fallback>
        </mc:AlternateContent>
      </w:r>
      <w:r w:rsidR="00B4793F">
        <w:t>In order to provide Members with a</w:t>
      </w:r>
      <w:r w:rsidR="00315999">
        <w:t>n understanding</w:t>
      </w:r>
      <w:r w:rsidR="00B4793F">
        <w:t xml:space="preserve"> of the Authority’s Treasury Management and Borrowing positions</w:t>
      </w:r>
      <w:r w:rsidR="00650407">
        <w:t>,</w:t>
      </w:r>
      <w:r w:rsidR="00B4793F">
        <w:t xml:space="preserve"> a document has been prepared, attached at </w:t>
      </w:r>
      <w:r w:rsidR="0050399F">
        <w:t>A</w:t>
      </w:r>
      <w:r w:rsidR="00B4793F">
        <w:t xml:space="preserve">ppendix 1 to this report; the ‘Treasury Management Strategy Statement </w:t>
      </w:r>
      <w:r w:rsidR="009A7584">
        <w:t>20</w:t>
      </w:r>
      <w:r w:rsidR="006914E2">
        <w:t>2</w:t>
      </w:r>
      <w:r w:rsidR="00FE2636">
        <w:t>1</w:t>
      </w:r>
      <w:r w:rsidR="009A7584">
        <w:t>/2</w:t>
      </w:r>
      <w:r w:rsidR="00FE2636">
        <w:t>2</w:t>
      </w:r>
      <w:r w:rsidR="00B4793F">
        <w:t>, Annual Revenue Provision Policy Statement and Annual Investment Strategy’.</w:t>
      </w:r>
    </w:p>
    <w:p w14:paraId="446CD597" w14:textId="77777777" w:rsidR="004701E7" w:rsidRDefault="00B4793F" w:rsidP="00903EC6">
      <w:pPr>
        <w:pStyle w:val="Heading1"/>
        <w:tabs>
          <w:tab w:val="clear" w:pos="357"/>
          <w:tab w:val="num" w:pos="1197"/>
        </w:tabs>
      </w:pPr>
      <w:r>
        <w:t>Treasury Management Strategy, Annual Revenue Provision Policy Statement and Annual Investment Strategy</w:t>
      </w:r>
    </w:p>
    <w:p w14:paraId="1E4AC957" w14:textId="77777777" w:rsidR="00907A4A" w:rsidRDefault="00B4793F" w:rsidP="00903EC6">
      <w:pPr>
        <w:pStyle w:val="Bodytextnumbered"/>
        <w:tabs>
          <w:tab w:val="clear" w:pos="1077"/>
          <w:tab w:val="num" w:pos="1917"/>
        </w:tabs>
      </w:pPr>
      <w:r>
        <w:t>Members</w:t>
      </w:r>
      <w:r w:rsidR="004D0A57">
        <w:t>’</w:t>
      </w:r>
      <w:r>
        <w:t xml:space="preserve"> attention is draw to the detail set out in Appendix 1 to this report which sets out the background and proposed positions for the Authority to approve.</w:t>
      </w:r>
    </w:p>
    <w:p w14:paraId="361ACD06" w14:textId="77777777" w:rsidR="00B4793F" w:rsidRDefault="00B4793F" w:rsidP="00903EC6">
      <w:pPr>
        <w:pStyle w:val="Bodytextnumbered"/>
        <w:tabs>
          <w:tab w:val="clear" w:pos="1077"/>
          <w:tab w:val="num" w:pos="1917"/>
        </w:tabs>
      </w:pPr>
      <w:r>
        <w:t>The Treasury Management Strategy covers:</w:t>
      </w:r>
    </w:p>
    <w:p w14:paraId="3D381E6B" w14:textId="77777777" w:rsidR="00B4793F" w:rsidRDefault="00B4793F" w:rsidP="00903EC6">
      <w:pPr>
        <w:pStyle w:val="ListBullet"/>
        <w:tabs>
          <w:tab w:val="clear" w:pos="851"/>
          <w:tab w:val="num" w:pos="2242"/>
        </w:tabs>
        <w:ind w:left="1402"/>
      </w:pPr>
      <w:r>
        <w:t xml:space="preserve">The current treasury </w:t>
      </w:r>
      <w:proofErr w:type="gramStart"/>
      <w:r>
        <w:t>position</w:t>
      </w:r>
      <w:proofErr w:type="gramEnd"/>
    </w:p>
    <w:p w14:paraId="2CF3D467" w14:textId="77777777" w:rsidR="00B4793F" w:rsidRDefault="00B4793F" w:rsidP="00903EC6">
      <w:pPr>
        <w:pStyle w:val="ListBullet"/>
        <w:tabs>
          <w:tab w:val="clear" w:pos="851"/>
          <w:tab w:val="num" w:pos="1691"/>
        </w:tabs>
        <w:ind w:left="1402"/>
      </w:pPr>
      <w:r>
        <w:t>Prospects for interest rates</w:t>
      </w:r>
    </w:p>
    <w:p w14:paraId="21282B9E" w14:textId="77777777" w:rsidR="00B4793F" w:rsidRDefault="00B4793F" w:rsidP="00903EC6">
      <w:pPr>
        <w:pStyle w:val="ListBullet"/>
        <w:tabs>
          <w:tab w:val="clear" w:pos="851"/>
          <w:tab w:val="num" w:pos="1691"/>
        </w:tabs>
        <w:ind w:left="1402"/>
      </w:pPr>
      <w:r>
        <w:lastRenderedPageBreak/>
        <w:t>Borrowing requirements and strategy</w:t>
      </w:r>
    </w:p>
    <w:p w14:paraId="1D1E08B8" w14:textId="77777777" w:rsidR="00B4793F" w:rsidRDefault="00B4793F" w:rsidP="00903EC6">
      <w:pPr>
        <w:pStyle w:val="ListBullet"/>
        <w:tabs>
          <w:tab w:val="clear" w:pos="851"/>
          <w:tab w:val="num" w:pos="2242"/>
        </w:tabs>
        <w:ind w:left="1402"/>
      </w:pPr>
      <w:r>
        <w:t>Annual Revenue Provision policy statement</w:t>
      </w:r>
    </w:p>
    <w:p w14:paraId="244136CA" w14:textId="77777777" w:rsidR="00B4793F" w:rsidRDefault="00B4793F" w:rsidP="00903EC6">
      <w:pPr>
        <w:pStyle w:val="ListBullet"/>
        <w:tabs>
          <w:tab w:val="clear" w:pos="851"/>
          <w:tab w:val="num" w:pos="1691"/>
        </w:tabs>
        <w:ind w:left="1402"/>
      </w:pPr>
      <w:r>
        <w:t>Debt rescheduling options</w:t>
      </w:r>
    </w:p>
    <w:p w14:paraId="74DFA2D8" w14:textId="77777777" w:rsidR="00B4793F" w:rsidRDefault="00B4793F" w:rsidP="00903EC6">
      <w:pPr>
        <w:pStyle w:val="ListBullet"/>
        <w:tabs>
          <w:tab w:val="clear" w:pos="851"/>
          <w:tab w:val="num" w:pos="1481"/>
        </w:tabs>
        <w:ind w:left="1402"/>
      </w:pPr>
      <w:r>
        <w:t>The annual investment strategy (Annex 2)</w:t>
      </w:r>
    </w:p>
    <w:p w14:paraId="427732E7" w14:textId="77777777" w:rsidR="00B4793F" w:rsidRDefault="00CC5FAE" w:rsidP="00903EC6">
      <w:pPr>
        <w:pStyle w:val="ListBullet"/>
        <w:tabs>
          <w:tab w:val="clear" w:pos="851"/>
          <w:tab w:val="num" w:pos="1612"/>
        </w:tabs>
        <w:ind w:left="1402"/>
      </w:pPr>
      <w:r>
        <w:t>Treasury Management and Prudential Indicators (Annex 3)</w:t>
      </w:r>
    </w:p>
    <w:p w14:paraId="71E89A43" w14:textId="77777777" w:rsidR="00CC5FAE" w:rsidRDefault="00CC5FAE" w:rsidP="00CC5FAE">
      <w:pPr>
        <w:pStyle w:val="ListBullet"/>
        <w:numPr>
          <w:ilvl w:val="0"/>
          <w:numId w:val="0"/>
        </w:numPr>
        <w:ind w:left="851"/>
      </w:pPr>
    </w:p>
    <w:p w14:paraId="0372EE16" w14:textId="77777777" w:rsidR="00CC5FAE" w:rsidRDefault="00CC5FAE" w:rsidP="00E346F9">
      <w:pPr>
        <w:pStyle w:val="Bodytextnumbered"/>
      </w:pPr>
      <w:r>
        <w:t>Together</w:t>
      </w:r>
      <w:r w:rsidR="0050399F">
        <w:t>,</w:t>
      </w:r>
      <w:r>
        <w:t xml:space="preserve"> the</w:t>
      </w:r>
      <w:r w:rsidR="0050399F">
        <w:t xml:space="preserve"> above</w:t>
      </w:r>
      <w:r>
        <w:t xml:space="preserve"> form the basis of the Authority’s proposed Treasury Management Strategy, Annual Revenue Provision Policy Statement, Annual Investment Strategy and Treasury Management and Prudential Indicators.</w:t>
      </w:r>
    </w:p>
    <w:p w14:paraId="6B246B46" w14:textId="05926572" w:rsidR="00CA2C8A" w:rsidRDefault="00CA2C8A" w:rsidP="00E346F9">
      <w:pPr>
        <w:pStyle w:val="Bodytextnumbered"/>
      </w:pPr>
      <w:r>
        <w:t xml:space="preserve">The Authority has been reviewing </w:t>
      </w:r>
      <w:r w:rsidR="006914E2">
        <w:t xml:space="preserve">its </w:t>
      </w:r>
      <w:r w:rsidR="00FE2636">
        <w:t>compliance with the</w:t>
      </w:r>
      <w:r>
        <w:t xml:space="preserve"> CIPFA</w:t>
      </w:r>
      <w:r w:rsidR="00FE2636">
        <w:t xml:space="preserve"> g</w:t>
      </w:r>
      <w:r>
        <w:t xml:space="preserve">uidance on the Prudential Code and separately the guidance on Treasury Management. The Code </w:t>
      </w:r>
      <w:r w:rsidR="00FE2636">
        <w:t xml:space="preserve">has </w:t>
      </w:r>
      <w:proofErr w:type="gramStart"/>
      <w:r w:rsidR="00FE2636">
        <w:t>a number of</w:t>
      </w:r>
      <w:proofErr w:type="gramEnd"/>
      <w:r w:rsidR="00FE2636">
        <w:t xml:space="preserve"> </w:t>
      </w:r>
      <w:r>
        <w:t xml:space="preserve">checks and balances where local authorities may be engaged in non-traditional borrowings for non-financial investments and there is additional focus on risk reward as well as maintaining a focus on security, liquidity and yield. </w:t>
      </w:r>
      <w:r w:rsidR="006914E2">
        <w:t>On</w:t>
      </w:r>
      <w:r>
        <w:t xml:space="preserve"> review there are no new requirements on this Authority as under arrangements there are no plans to engage in the </w:t>
      </w:r>
      <w:proofErr w:type="gramStart"/>
      <w:r>
        <w:t>more risky</w:t>
      </w:r>
      <w:proofErr w:type="gramEnd"/>
      <w:r>
        <w:t xml:space="preserve"> kinds of borrowing and investment that are intended to be caught by the scope of the codes.</w:t>
      </w:r>
    </w:p>
    <w:p w14:paraId="6F345FDA" w14:textId="08A240B2" w:rsidR="00B466A3" w:rsidRPr="00E346F9" w:rsidRDefault="00B466A3" w:rsidP="00E346F9">
      <w:pPr>
        <w:pStyle w:val="Bodytextnumbered"/>
      </w:pPr>
      <w:r>
        <w:t xml:space="preserve">The Appendix also includes, at Annex 6, a Capital Strategy. The Capital </w:t>
      </w:r>
      <w:r w:rsidR="003D18A3">
        <w:t>S</w:t>
      </w:r>
      <w:r>
        <w:t>trategy</w:t>
      </w:r>
      <w:r w:rsidR="009A7584">
        <w:t>,</w:t>
      </w:r>
      <w:r>
        <w:t xml:space="preserve"> attached</w:t>
      </w:r>
      <w:r w:rsidR="009A7584">
        <w:t>,</w:t>
      </w:r>
      <w:r>
        <w:t xml:space="preserve"> shows how the Authority’s corporate objectives </w:t>
      </w:r>
      <w:r w:rsidR="009A7584">
        <w:t>for 202</w:t>
      </w:r>
      <w:r w:rsidR="00FE2636">
        <w:t>1</w:t>
      </w:r>
      <w:r w:rsidR="009A7584">
        <w:t>/2</w:t>
      </w:r>
      <w:r w:rsidR="00FE2636">
        <w:t>2</w:t>
      </w:r>
      <w:r w:rsidR="009A7584">
        <w:t xml:space="preserve"> </w:t>
      </w:r>
      <w:r>
        <w:t>are supported by the assets it deploys, whether directly or under contracts which have been procured. It also shows how those assets are maintained and where they will be funded from going forward, as well as considering how the assets have been funded in the past.</w:t>
      </w:r>
    </w:p>
    <w:p w14:paraId="474E1F1D" w14:textId="77777777" w:rsidR="004701E7" w:rsidRDefault="004701E7" w:rsidP="00E346F9">
      <w:pPr>
        <w:pStyle w:val="Heading1"/>
      </w:pPr>
      <w:r>
        <w:t xml:space="preserve">Risk </w:t>
      </w:r>
      <w:r w:rsidR="0036067F">
        <w:t>Implications</w:t>
      </w:r>
    </w:p>
    <w:p w14:paraId="1B0C6B30" w14:textId="77777777" w:rsidR="00BF4C40" w:rsidRDefault="00CC5FAE" w:rsidP="00CC5FAE">
      <w:pPr>
        <w:pStyle w:val="Bodytextnumbered"/>
      </w:pPr>
      <w:r>
        <w:t>The Treasury Management approach set out in the report at Appendix 1 provides a prudent basis for managing the Authority’s investments. The key to the investment strategy is to ensure that capital is preserved, and that the risk profile of investments is minimised. The approach means that the Authority will not be advised to consider investing in higher risk investments which could potentially place its capital at risk. The downside to this is that investment returns, while relatively healthy, remain somewhat conservative. To obtain larger returns would require putting elements of the investments at risk and this is not advised.</w:t>
      </w:r>
    </w:p>
    <w:p w14:paraId="4678C723" w14:textId="77777777" w:rsidR="00CC5FAE" w:rsidRDefault="00CC5FAE" w:rsidP="00CC5FAE">
      <w:pPr>
        <w:pStyle w:val="Bodytextnumbered"/>
      </w:pPr>
      <w:r>
        <w:t>In terms of borrowings</w:t>
      </w:r>
      <w:r w:rsidR="0050399F">
        <w:t>,</w:t>
      </w:r>
      <w:r>
        <w:t xml:space="preserve"> the Authority has a profile of borrowings which provide a balance between shorter and medium to long term maturities, which means that the Authority is not called </w:t>
      </w:r>
      <w:r w:rsidR="00306629">
        <w:t>up</w:t>
      </w:r>
      <w:r>
        <w:t xml:space="preserve">on to repay all its external </w:t>
      </w:r>
      <w:r>
        <w:lastRenderedPageBreak/>
        <w:t xml:space="preserve">borrowings at one time which could have an impact on its immediate ability to manage its liquidity and cash-flow. </w:t>
      </w:r>
      <w:r w:rsidR="00572B9E">
        <w:t>The option of reviewing the debt and rescheduling for even lower cost borrowing is available to the Authority, but will only be taken up where the costs of any premium payments to be made on redemption and rescheduling of existing debt do not exceed the financial benefits of the otherwise lower cost borrowing.</w:t>
      </w:r>
    </w:p>
    <w:p w14:paraId="5D80C553" w14:textId="77777777" w:rsidR="004E2A79" w:rsidRDefault="00D56C77" w:rsidP="00CC5FAE">
      <w:pPr>
        <w:pStyle w:val="Bodytextnumbered"/>
      </w:pPr>
      <w:r>
        <w:t>The Authority does not directly manage its cash, this is carried out on the Authority’s behalf by St Helens Council</w:t>
      </w:r>
      <w:r w:rsidR="00D55356">
        <w:t xml:space="preserve"> under a Service Level Agreement</w:t>
      </w:r>
      <w:r>
        <w:t xml:space="preserve">. </w:t>
      </w:r>
    </w:p>
    <w:p w14:paraId="227C541F" w14:textId="6D2C7491" w:rsidR="00B466A3" w:rsidRDefault="00FE2636" w:rsidP="00CC5FAE">
      <w:pPr>
        <w:pStyle w:val="Bodytextnumbered"/>
      </w:pPr>
      <w:r>
        <w:t xml:space="preserve">Ongoing review of </w:t>
      </w:r>
      <w:r w:rsidR="00B466A3">
        <w:t>the Levy approach, so that the Levy and the Authority’s expenditure are in balance</w:t>
      </w:r>
      <w:r>
        <w:t xml:space="preserve"> over the longer term</w:t>
      </w:r>
      <w:r w:rsidR="00B466A3">
        <w:t xml:space="preserve">, </w:t>
      </w:r>
      <w:r w:rsidR="009A7584">
        <w:t>will also contribute to ensuring the cash position is managed sustainably</w:t>
      </w:r>
      <w:r w:rsidR="00B466A3">
        <w:t>.</w:t>
      </w:r>
    </w:p>
    <w:p w14:paraId="16B3EAE7" w14:textId="77777777" w:rsidR="00572B9E" w:rsidRPr="008D7199" w:rsidRDefault="00572B9E" w:rsidP="00CC5FAE">
      <w:pPr>
        <w:pStyle w:val="Bodytextnumbered"/>
      </w:pPr>
      <w:r>
        <w:t>By considering and approving the Strategy Statement, the Annual Revenue Provision Policy, the Annual Investment Strategy and the Treasury Management and Prudential Indicators</w:t>
      </w:r>
      <w:r w:rsidR="00825163">
        <w:t>,</w:t>
      </w:r>
      <w:r>
        <w:t xml:space="preserve"> the Authority will demonstrate </w:t>
      </w:r>
      <w:r w:rsidR="00207A63">
        <w:t>its</w:t>
      </w:r>
      <w:r>
        <w:t xml:space="preserve"> governance of </w:t>
      </w:r>
      <w:r w:rsidR="00207A63">
        <w:t xml:space="preserve">the way </w:t>
      </w:r>
      <w:r>
        <w:t>these matters</w:t>
      </w:r>
      <w:r w:rsidR="00207A63">
        <w:t xml:space="preserve"> are managed</w:t>
      </w:r>
      <w:r>
        <w:t>.</w:t>
      </w:r>
    </w:p>
    <w:p w14:paraId="0F4757E5" w14:textId="77777777" w:rsidR="004701E7" w:rsidRDefault="004701E7" w:rsidP="00E346F9">
      <w:pPr>
        <w:pStyle w:val="Heading1"/>
      </w:pPr>
      <w:r>
        <w:t>HR Implications</w:t>
      </w:r>
    </w:p>
    <w:p w14:paraId="3F03939B" w14:textId="77777777" w:rsidR="008D7199" w:rsidRDefault="002038E1" w:rsidP="008D7199">
      <w:pPr>
        <w:pStyle w:val="Bodytextnumbered"/>
      </w:pPr>
      <w:r>
        <w:t>T</w:t>
      </w:r>
      <w:r w:rsidR="00572B9E">
        <w:t>here are no HR implications associate with this report</w:t>
      </w:r>
      <w:r w:rsidR="00825163">
        <w:t>.</w:t>
      </w:r>
    </w:p>
    <w:p w14:paraId="0742699E" w14:textId="77777777" w:rsidR="002038E1" w:rsidRDefault="002038E1" w:rsidP="002038E1">
      <w:pPr>
        <w:pStyle w:val="Heading1"/>
      </w:pPr>
      <w:r>
        <w:t>Environmental Implications</w:t>
      </w:r>
    </w:p>
    <w:p w14:paraId="19DA90BE" w14:textId="77777777" w:rsidR="002038E1" w:rsidRPr="002038E1" w:rsidRDefault="002038E1" w:rsidP="002038E1">
      <w:pPr>
        <w:pStyle w:val="Bodytextnumbered"/>
      </w:pPr>
      <w:r>
        <w:t>T</w:t>
      </w:r>
      <w:r w:rsidR="00572B9E">
        <w:t>here are no environmental implications associated with this report</w:t>
      </w:r>
      <w:r w:rsidR="00825163">
        <w:t>.</w:t>
      </w:r>
    </w:p>
    <w:p w14:paraId="70EF814B" w14:textId="77777777" w:rsidR="004701E7" w:rsidRDefault="000C01BD" w:rsidP="00E346F9">
      <w:pPr>
        <w:pStyle w:val="Heading1"/>
      </w:pPr>
      <w:r>
        <w:t>Financial I</w:t>
      </w:r>
      <w:r w:rsidR="004701E7">
        <w:t>mplications</w:t>
      </w:r>
    </w:p>
    <w:p w14:paraId="2F4003E5" w14:textId="77777777" w:rsidR="00907A4A" w:rsidRDefault="00907A4A" w:rsidP="00907A4A">
      <w:pPr>
        <w:pStyle w:val="Bodytextnumbered"/>
      </w:pPr>
      <w:r>
        <w:t>T</w:t>
      </w:r>
      <w:r w:rsidR="00572B9E">
        <w:t>he report considers the Authority’s investment and borrowing, ensuring that a prudent approach is taken to preserve the Authority’s cash flow and liquidity while minimising risk. The report also considers the affordability of borrowing via the Treasury Management and Prudential Indicators.</w:t>
      </w:r>
    </w:p>
    <w:p w14:paraId="45E24687" w14:textId="77777777" w:rsidR="0084765E" w:rsidRDefault="0084765E" w:rsidP="0084765E">
      <w:pPr>
        <w:pStyle w:val="Heading1"/>
      </w:pPr>
      <w:r>
        <w:t>Legal Implications</w:t>
      </w:r>
    </w:p>
    <w:p w14:paraId="14B876D2" w14:textId="77777777" w:rsidR="0084765E" w:rsidRPr="0081331D" w:rsidRDefault="0084765E" w:rsidP="0084765E">
      <w:pPr>
        <w:pStyle w:val="Bodytextnumbered"/>
      </w:pPr>
      <w:r>
        <w:t>T</w:t>
      </w:r>
      <w:r w:rsidR="00572B9E">
        <w:t>h</w:t>
      </w:r>
      <w:r w:rsidR="00E16851">
        <w:t>r</w:t>
      </w:r>
      <w:r w:rsidR="00572B9E">
        <w:t xml:space="preserve">ough considering and approving the content of Appendix </w:t>
      </w:r>
      <w:r w:rsidR="0050399F">
        <w:t xml:space="preserve">1 </w:t>
      </w:r>
      <w:r w:rsidR="00572B9E">
        <w:t xml:space="preserve">to the report Members will clearly demonstrate compliance with the </w:t>
      </w:r>
      <w:r w:rsidR="004D0A57">
        <w:t>statutory requirements regarding Treasury Management and Prudential Indicators.</w:t>
      </w:r>
    </w:p>
    <w:p w14:paraId="03B31E99" w14:textId="77777777" w:rsidR="004701E7" w:rsidRDefault="004701E7" w:rsidP="00E346F9">
      <w:pPr>
        <w:pStyle w:val="Heading1"/>
      </w:pPr>
      <w:r>
        <w:t>Conclusion</w:t>
      </w:r>
    </w:p>
    <w:p w14:paraId="09A991ED" w14:textId="67D323FA" w:rsidR="00907A4A" w:rsidRPr="00234198" w:rsidRDefault="004D0A57" w:rsidP="00907A4A">
      <w:pPr>
        <w:pStyle w:val="Bodytextnumbered"/>
      </w:pPr>
      <w:r>
        <w:t>In order to demonstrate the Authority’s governance arrangements in respect of Treasury Management</w:t>
      </w:r>
      <w:r w:rsidR="003D18A3">
        <w:t>,</w:t>
      </w:r>
      <w:r>
        <w:t xml:space="preserve"> Members are asked to consider and approve the content of Appendix 1 to this report which sets for the </w:t>
      </w:r>
      <w:r>
        <w:lastRenderedPageBreak/>
        <w:t>Authority</w:t>
      </w:r>
      <w:r w:rsidR="0050399F">
        <w:t>:</w:t>
      </w:r>
      <w:r>
        <w:t xml:space="preserve"> a Treasury Manage</w:t>
      </w:r>
      <w:r w:rsidR="00315999">
        <w:t xml:space="preserve">ment Strategy Statement for </w:t>
      </w:r>
      <w:r w:rsidR="009A7584">
        <w:t>202</w:t>
      </w:r>
      <w:r w:rsidR="00FE2636">
        <w:t>1</w:t>
      </w:r>
      <w:r w:rsidR="006914E2">
        <w:t>-2</w:t>
      </w:r>
      <w:r w:rsidR="00FE2636">
        <w:t>2</w:t>
      </w:r>
      <w:r>
        <w:t>, an Annual Revenue Provision Policy, an Annual Investment Strategy</w:t>
      </w:r>
      <w:r w:rsidR="00E72EA7">
        <w:t>;</w:t>
      </w:r>
      <w:r>
        <w:t xml:space="preserve"> the Treasury Management and Prudential Indicators</w:t>
      </w:r>
      <w:r w:rsidR="00E72EA7">
        <w:t>, and the capital strategy</w:t>
      </w:r>
      <w:r>
        <w:t>.</w:t>
      </w:r>
    </w:p>
    <w:tbl>
      <w:tblPr>
        <w:tblW w:w="0" w:type="auto"/>
        <w:tblLook w:val="0000" w:firstRow="0" w:lastRow="0" w:firstColumn="0" w:lastColumn="0" w:noHBand="0" w:noVBand="0"/>
      </w:tblPr>
      <w:tblGrid>
        <w:gridCol w:w="9029"/>
      </w:tblGrid>
      <w:tr w:rsidR="00E4410A" w14:paraId="19B8A4CD" w14:textId="77777777" w:rsidTr="0033612C">
        <w:trPr>
          <w:cantSplit/>
        </w:trPr>
        <w:tc>
          <w:tcPr>
            <w:tcW w:w="9245" w:type="dxa"/>
          </w:tcPr>
          <w:p w14:paraId="494FE95E" w14:textId="67E131B5" w:rsidR="00010101" w:rsidRPr="00E4410A" w:rsidRDefault="00FE2636" w:rsidP="0033612C">
            <w:pPr>
              <w:pStyle w:val="Contact"/>
              <w:keepNext/>
              <w:tabs>
                <w:tab w:val="center" w:pos="4153"/>
                <w:tab w:val="right" w:pos="8306"/>
              </w:tabs>
            </w:pPr>
            <w:bookmarkStart w:id="3" w:name="Contact"/>
            <w:r>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bookmarkEnd w:id="3"/>
    </w:tbl>
    <w:p w14:paraId="5B97044B" w14:textId="77777777" w:rsidR="00E4410A" w:rsidRDefault="00E4410A" w:rsidP="00907A4A">
      <w:pPr>
        <w:pStyle w:val="BodyText"/>
        <w:spacing w:after="0"/>
        <w:rPr>
          <w:rFonts w:cs="Arial"/>
        </w:rPr>
      </w:pPr>
    </w:p>
    <w:sectPr w:rsidR="00E4410A" w:rsidSect="00813621">
      <w:headerReference w:type="default" r:id="rId8"/>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DCDB2" w14:textId="77777777" w:rsidR="004F378C" w:rsidRDefault="004F378C">
      <w:r>
        <w:separator/>
      </w:r>
    </w:p>
  </w:endnote>
  <w:endnote w:type="continuationSeparator" w:id="0">
    <w:p w14:paraId="24F7C02B" w14:textId="77777777" w:rsidR="004F378C" w:rsidRDefault="004F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20E65" w14:textId="77777777" w:rsidR="004F378C" w:rsidRDefault="004F378C">
      <w:r>
        <w:separator/>
      </w:r>
    </w:p>
  </w:footnote>
  <w:footnote w:type="continuationSeparator" w:id="0">
    <w:p w14:paraId="1CBE2E06" w14:textId="77777777" w:rsidR="004F378C" w:rsidRDefault="004F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2A9CB" w14:textId="3ECC203B" w:rsidR="00BA1CBE" w:rsidRPr="000D7A22" w:rsidRDefault="006106A8" w:rsidP="00813621">
    <w:pPr>
      <w:pStyle w:val="Header"/>
      <w:jc w:val="right"/>
      <w:rPr>
        <w:sz w:val="72"/>
        <w:szCs w:val="72"/>
      </w:rPr>
    </w:pPr>
    <w:r>
      <w:rPr>
        <w:sz w:val="72"/>
        <w:szCs w:val="72"/>
      </w:rPr>
      <w:t>0</w:t>
    </w:r>
    <w:r w:rsidR="00C66668">
      <w:rPr>
        <w:sz w:val="72"/>
        <w:szCs w:val="7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24C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6AD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C2A8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E84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15:restartNumberingAfterBreak="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15:restartNumberingAfterBreak="0">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5"/>
  </w:num>
  <w:num w:numId="24">
    <w:abstractNumId w:val="17"/>
  </w:num>
  <w:num w:numId="25">
    <w:abstractNumId w:val="1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1st February 2019"/>
    <w:docVar w:name="tbEmail" w:val="peter.williams@merseysidewda.gov.uk"/>
    <w:docVar w:name="tbFax" w:val="0151 227 1848"/>
    <w:docVar w:name="tbItemNumber" w:val="xx"/>
    <w:docVar w:name="tbReference" w:val="xx"/>
    <w:docVar w:name="tbRefYear" w:val="/21"/>
    <w:docVar w:name="tbTelNo" w:val="0151 255 2542"/>
    <w:docVar w:name="tbTitle" w:val="Treasury Management Strategy Statement 2021/22; Annual Revenue Provision Policy Statement; Annual Investment Strategy; Treasury Management and Prudential Indicators; and Capital Strategy"/>
    <w:docVar w:name="tbWDA" w:val="WDA/"/>
  </w:docVars>
  <w:rsids>
    <w:rsidRoot w:val="00034F22"/>
    <w:rsid w:val="0000174F"/>
    <w:rsid w:val="000039D8"/>
    <w:rsid w:val="00010101"/>
    <w:rsid w:val="00016F38"/>
    <w:rsid w:val="00033F1C"/>
    <w:rsid w:val="00034F22"/>
    <w:rsid w:val="00041BE4"/>
    <w:rsid w:val="00047478"/>
    <w:rsid w:val="000522AE"/>
    <w:rsid w:val="0009089F"/>
    <w:rsid w:val="000C01BD"/>
    <w:rsid w:val="000D7A22"/>
    <w:rsid w:val="0010717F"/>
    <w:rsid w:val="00107460"/>
    <w:rsid w:val="00143440"/>
    <w:rsid w:val="0015317A"/>
    <w:rsid w:val="00193453"/>
    <w:rsid w:val="001A2C06"/>
    <w:rsid w:val="001B6A16"/>
    <w:rsid w:val="001C4905"/>
    <w:rsid w:val="001C66F1"/>
    <w:rsid w:val="001F175F"/>
    <w:rsid w:val="001F44DF"/>
    <w:rsid w:val="002038E1"/>
    <w:rsid w:val="00207A63"/>
    <w:rsid w:val="00210783"/>
    <w:rsid w:val="0021717D"/>
    <w:rsid w:val="00222ABC"/>
    <w:rsid w:val="002758CD"/>
    <w:rsid w:val="00283990"/>
    <w:rsid w:val="002913B5"/>
    <w:rsid w:val="00295C52"/>
    <w:rsid w:val="002B0101"/>
    <w:rsid w:val="002B6EB5"/>
    <w:rsid w:val="002D30EA"/>
    <w:rsid w:val="00303378"/>
    <w:rsid w:val="00306629"/>
    <w:rsid w:val="00307BB8"/>
    <w:rsid w:val="00311655"/>
    <w:rsid w:val="00315999"/>
    <w:rsid w:val="00325A12"/>
    <w:rsid w:val="0033612C"/>
    <w:rsid w:val="0036067F"/>
    <w:rsid w:val="003725F6"/>
    <w:rsid w:val="0037399B"/>
    <w:rsid w:val="00394326"/>
    <w:rsid w:val="003B402F"/>
    <w:rsid w:val="003C6CE4"/>
    <w:rsid w:val="003D0172"/>
    <w:rsid w:val="003D18A3"/>
    <w:rsid w:val="003F25BC"/>
    <w:rsid w:val="00405813"/>
    <w:rsid w:val="00421BF9"/>
    <w:rsid w:val="00444C05"/>
    <w:rsid w:val="004701E7"/>
    <w:rsid w:val="0047218D"/>
    <w:rsid w:val="00481DBA"/>
    <w:rsid w:val="00493E79"/>
    <w:rsid w:val="004A7E0A"/>
    <w:rsid w:val="004B3503"/>
    <w:rsid w:val="004C52CE"/>
    <w:rsid w:val="004C7423"/>
    <w:rsid w:val="004D0A57"/>
    <w:rsid w:val="004D7F44"/>
    <w:rsid w:val="004E1905"/>
    <w:rsid w:val="004E2A79"/>
    <w:rsid w:val="004E2BF9"/>
    <w:rsid w:val="004E6B5F"/>
    <w:rsid w:val="004F378C"/>
    <w:rsid w:val="004F59EC"/>
    <w:rsid w:val="0050399F"/>
    <w:rsid w:val="00507BD9"/>
    <w:rsid w:val="005170F0"/>
    <w:rsid w:val="00561402"/>
    <w:rsid w:val="00561FE3"/>
    <w:rsid w:val="00572B9E"/>
    <w:rsid w:val="005B21CA"/>
    <w:rsid w:val="005B47A2"/>
    <w:rsid w:val="005C20DA"/>
    <w:rsid w:val="005D74DD"/>
    <w:rsid w:val="005E160A"/>
    <w:rsid w:val="006011A7"/>
    <w:rsid w:val="0060193F"/>
    <w:rsid w:val="006106A8"/>
    <w:rsid w:val="00614FE6"/>
    <w:rsid w:val="00650407"/>
    <w:rsid w:val="00681FBD"/>
    <w:rsid w:val="00685D7F"/>
    <w:rsid w:val="006876D8"/>
    <w:rsid w:val="006914E2"/>
    <w:rsid w:val="006C4FFE"/>
    <w:rsid w:val="006C7918"/>
    <w:rsid w:val="006F653C"/>
    <w:rsid w:val="0074510B"/>
    <w:rsid w:val="00764F8C"/>
    <w:rsid w:val="00765EB0"/>
    <w:rsid w:val="00793435"/>
    <w:rsid w:val="007B18D6"/>
    <w:rsid w:val="007D2140"/>
    <w:rsid w:val="00813621"/>
    <w:rsid w:val="00825163"/>
    <w:rsid w:val="00834BC6"/>
    <w:rsid w:val="0084765E"/>
    <w:rsid w:val="00852696"/>
    <w:rsid w:val="008601D5"/>
    <w:rsid w:val="00872919"/>
    <w:rsid w:val="008D7199"/>
    <w:rsid w:val="008E7315"/>
    <w:rsid w:val="00903EC6"/>
    <w:rsid w:val="0090592D"/>
    <w:rsid w:val="00907A4A"/>
    <w:rsid w:val="00913812"/>
    <w:rsid w:val="00935EF8"/>
    <w:rsid w:val="00955428"/>
    <w:rsid w:val="00956A4D"/>
    <w:rsid w:val="00974F8C"/>
    <w:rsid w:val="00993DF7"/>
    <w:rsid w:val="009A7584"/>
    <w:rsid w:val="009B4739"/>
    <w:rsid w:val="009D78B8"/>
    <w:rsid w:val="009F0374"/>
    <w:rsid w:val="00A06A19"/>
    <w:rsid w:val="00A07D4C"/>
    <w:rsid w:val="00A661BD"/>
    <w:rsid w:val="00A665C4"/>
    <w:rsid w:val="00A90EA7"/>
    <w:rsid w:val="00A933BE"/>
    <w:rsid w:val="00AC0631"/>
    <w:rsid w:val="00AC0BA2"/>
    <w:rsid w:val="00AD188A"/>
    <w:rsid w:val="00AD4BC5"/>
    <w:rsid w:val="00AF32F8"/>
    <w:rsid w:val="00B466A3"/>
    <w:rsid w:val="00B4793F"/>
    <w:rsid w:val="00B54421"/>
    <w:rsid w:val="00B7597A"/>
    <w:rsid w:val="00BA1CBE"/>
    <w:rsid w:val="00BF4C40"/>
    <w:rsid w:val="00BF5D73"/>
    <w:rsid w:val="00BF6D1D"/>
    <w:rsid w:val="00C00182"/>
    <w:rsid w:val="00C4410A"/>
    <w:rsid w:val="00C53068"/>
    <w:rsid w:val="00C66668"/>
    <w:rsid w:val="00C864C7"/>
    <w:rsid w:val="00CA035A"/>
    <w:rsid w:val="00CA07CB"/>
    <w:rsid w:val="00CA2C8A"/>
    <w:rsid w:val="00CA6B7D"/>
    <w:rsid w:val="00CC0936"/>
    <w:rsid w:val="00CC5FAE"/>
    <w:rsid w:val="00CE7B5A"/>
    <w:rsid w:val="00D10382"/>
    <w:rsid w:val="00D11DF2"/>
    <w:rsid w:val="00D15259"/>
    <w:rsid w:val="00D451E9"/>
    <w:rsid w:val="00D45C48"/>
    <w:rsid w:val="00D55356"/>
    <w:rsid w:val="00D56C77"/>
    <w:rsid w:val="00D60711"/>
    <w:rsid w:val="00D64927"/>
    <w:rsid w:val="00D65910"/>
    <w:rsid w:val="00DA3FF8"/>
    <w:rsid w:val="00DC0EB2"/>
    <w:rsid w:val="00E025E1"/>
    <w:rsid w:val="00E16851"/>
    <w:rsid w:val="00E21745"/>
    <w:rsid w:val="00E346F9"/>
    <w:rsid w:val="00E4410A"/>
    <w:rsid w:val="00E56740"/>
    <w:rsid w:val="00E678A8"/>
    <w:rsid w:val="00E72EA7"/>
    <w:rsid w:val="00E8093A"/>
    <w:rsid w:val="00E8211E"/>
    <w:rsid w:val="00E91705"/>
    <w:rsid w:val="00EF580D"/>
    <w:rsid w:val="00F00C67"/>
    <w:rsid w:val="00F22234"/>
    <w:rsid w:val="00F25C55"/>
    <w:rsid w:val="00F37F39"/>
    <w:rsid w:val="00F461BD"/>
    <w:rsid w:val="00F53A91"/>
    <w:rsid w:val="00F63B16"/>
    <w:rsid w:val="00F63F36"/>
    <w:rsid w:val="00F70BC9"/>
    <w:rsid w:val="00F70DD7"/>
    <w:rsid w:val="00FC6142"/>
    <w:rsid w:val="00FE2636"/>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1D6FA7"/>
  <w15:docId w15:val="{84A73DE7-EB94-489E-A9ED-5C427DDE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E5F6-C3E6-4225-BBD5-137428CC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MWDA_Report v2</Template>
  <TotalTime>4</TotalTime>
  <Pages>6</Pages>
  <Words>1116</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Treasury Management Strategy Statement 2019/20; Annual Revenue Provision Policy Statement; Annual Investment Strategy; Treasury Management and Prudential Indicators; and Capital Strategy</vt:lpstr>
    </vt:vector>
  </TitlesOfParts>
  <Company>MWDA</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Management Strategy Statement 2021/22; Annual Revenue Provision Policy Statement; Annual Investment Strategy; Treasury Management and Prudential Indicators; and Capital Strategy</dc:title>
  <dc:subject>Version 1.0</dc:subject>
  <dc:creator>Williams, Peter</dc:creator>
  <cp:lastModifiedBy>Muir, Amber</cp:lastModifiedBy>
  <cp:revision>3</cp:revision>
  <cp:lastPrinted>2015-01-27T16:23:00Z</cp:lastPrinted>
  <dcterms:created xsi:type="dcterms:W3CDTF">2021-01-18T13:16:00Z</dcterms:created>
  <dcterms:modified xsi:type="dcterms:W3CDTF">2021-01-19T13:48:00Z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WDA/xx/21</vt:lpwstr>
  </property>
  <property fmtid="{D5CDD505-2E9C-101B-9397-08002B2CF9AE}" pid="3" name="Date">
    <vt:lpwstr>1st February 2019</vt:lpwstr>
  </property>
  <property fmtid="{D5CDD505-2E9C-101B-9397-08002B2CF9AE}" pid="4" name="ItemNumber">
    <vt:lpwstr>xx</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