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5A4B" w14:textId="77777777" w:rsidR="007C7B88" w:rsidRDefault="007C7B88" w:rsidP="00381DCA">
      <w:pPr>
        <w:jc w:val="right"/>
        <w:rPr>
          <w:rFonts w:ascii="Arial" w:hAnsi="Arial" w:cs="Arial"/>
          <w:sz w:val="28"/>
          <w:szCs w:val="28"/>
        </w:rPr>
      </w:pPr>
    </w:p>
    <w:p w14:paraId="25D8AF63" w14:textId="77777777" w:rsidR="00802E87" w:rsidRDefault="00133EC4" w:rsidP="00802E87">
      <w:pPr>
        <w:rPr>
          <w:b/>
        </w:rPr>
      </w:pPr>
      <w:r w:rsidRPr="00685EE8">
        <w:rPr>
          <w:b/>
        </w:rPr>
        <w:t>Treasury Ma</w:t>
      </w:r>
      <w:r w:rsidR="000B38B3">
        <w:rPr>
          <w:b/>
        </w:rPr>
        <w:t xml:space="preserve">nagement Strategy Statement </w:t>
      </w:r>
      <w:r w:rsidR="00D15439">
        <w:rPr>
          <w:b/>
        </w:rPr>
        <w:t>202</w:t>
      </w:r>
      <w:r w:rsidR="00567498">
        <w:rPr>
          <w:b/>
        </w:rPr>
        <w:t>1</w:t>
      </w:r>
      <w:r w:rsidR="005B5E63">
        <w:rPr>
          <w:b/>
        </w:rPr>
        <w:t>/20</w:t>
      </w:r>
      <w:r w:rsidR="00D650F7">
        <w:rPr>
          <w:b/>
        </w:rPr>
        <w:t>2</w:t>
      </w:r>
      <w:r w:rsidR="00567498">
        <w:rPr>
          <w:b/>
        </w:rPr>
        <w:t>2</w:t>
      </w:r>
      <w:r w:rsidRPr="00685EE8">
        <w:rPr>
          <w:b/>
        </w:rPr>
        <w:t xml:space="preserve">, </w:t>
      </w:r>
      <w:r w:rsidR="00802E87">
        <w:rPr>
          <w:b/>
        </w:rPr>
        <w:t xml:space="preserve">Annual Revenue Provision Policy </w:t>
      </w:r>
    </w:p>
    <w:p w14:paraId="04CD2F07" w14:textId="77777777" w:rsidR="0016219B" w:rsidRPr="00685EE8" w:rsidRDefault="00133EC4" w:rsidP="00802E87">
      <w:pPr>
        <w:rPr>
          <w:b/>
        </w:rPr>
      </w:pPr>
      <w:r w:rsidRPr="00685EE8">
        <w:rPr>
          <w:b/>
        </w:rPr>
        <w:t>Statement and Annual Investment Strategy</w:t>
      </w:r>
    </w:p>
    <w:p w14:paraId="4E91CCA6" w14:textId="77777777" w:rsidR="00133EC4" w:rsidRPr="00685EE8" w:rsidRDefault="00133EC4" w:rsidP="00133EC4">
      <w:pPr>
        <w:rPr>
          <w:b/>
        </w:rPr>
      </w:pPr>
      <w:r w:rsidRPr="00685EE8">
        <w:rPr>
          <w:b/>
        </w:rPr>
        <w:t>1</w:t>
      </w:r>
      <w:r w:rsidRPr="00685EE8">
        <w:rPr>
          <w:b/>
        </w:rPr>
        <w:tab/>
        <w:t>Background</w:t>
      </w:r>
    </w:p>
    <w:p w14:paraId="4A64E37B" w14:textId="77777777" w:rsidR="00133EC4" w:rsidRDefault="00133EC4" w:rsidP="00133EC4">
      <w:r>
        <w:t>1.1</w:t>
      </w:r>
      <w:r>
        <w:tab/>
        <w:t xml:space="preserve">The Local Government Act 2003 (the Act) and the framework established by CIPFA through its Prudential Code requires the Authority to set Prudential and Treasury Indicators for each of the next three years to ensure that the Authority’s </w:t>
      </w:r>
      <w:r w:rsidR="005B5E63">
        <w:t>Capital</w:t>
      </w:r>
      <w:r>
        <w:t xml:space="preserve"> investment plans are affordable, prudent and sustainable.</w:t>
      </w:r>
    </w:p>
    <w:p w14:paraId="1B77C419" w14:textId="77777777" w:rsidR="00133EC4" w:rsidRDefault="00133EC4" w:rsidP="00133EC4">
      <w:r>
        <w:t>1.2</w:t>
      </w:r>
      <w:r>
        <w:tab/>
        <w:t>The Act also requires the Authority to set out its Treasury Strategy for borrowing and to prepare an Annual Investment Strategy that sets out the Authority’s policies for managing its investments and the priority given to the security and liquidity of those investments.</w:t>
      </w:r>
    </w:p>
    <w:p w14:paraId="5CAAA176" w14:textId="77777777" w:rsidR="00133EC4" w:rsidRDefault="000B38B3" w:rsidP="00133EC4">
      <w:r>
        <w:t>1.3</w:t>
      </w:r>
      <w:r>
        <w:tab/>
        <w:t xml:space="preserve">The strategy for </w:t>
      </w:r>
      <w:r w:rsidR="00D15439">
        <w:t>202</w:t>
      </w:r>
      <w:r w:rsidR="00567498">
        <w:t>1</w:t>
      </w:r>
      <w:r w:rsidR="005B5E63">
        <w:t>/20</w:t>
      </w:r>
      <w:r w:rsidR="00D650F7">
        <w:t>2</w:t>
      </w:r>
      <w:r w:rsidR="00567498">
        <w:t>2</w:t>
      </w:r>
      <w:r w:rsidR="00133EC4">
        <w:t xml:space="preserve"> covers:</w:t>
      </w:r>
    </w:p>
    <w:p w14:paraId="1901166B" w14:textId="77777777" w:rsidR="00133EC4" w:rsidRDefault="00133EC4" w:rsidP="00133EC4">
      <w:pPr>
        <w:pStyle w:val="ListParagraph"/>
        <w:numPr>
          <w:ilvl w:val="0"/>
          <w:numId w:val="1"/>
        </w:numPr>
      </w:pPr>
      <w:r>
        <w:t xml:space="preserve">The current treasury </w:t>
      </w:r>
      <w:proofErr w:type="gramStart"/>
      <w:r>
        <w:t>position</w:t>
      </w:r>
      <w:proofErr w:type="gramEnd"/>
    </w:p>
    <w:p w14:paraId="59C5C596" w14:textId="77777777" w:rsidR="00133EC4" w:rsidRDefault="00133EC4" w:rsidP="00133EC4">
      <w:pPr>
        <w:pStyle w:val="ListParagraph"/>
        <w:numPr>
          <w:ilvl w:val="0"/>
          <w:numId w:val="1"/>
        </w:numPr>
      </w:pPr>
      <w:r>
        <w:t>Prospects for interest rates</w:t>
      </w:r>
    </w:p>
    <w:p w14:paraId="1339E69C" w14:textId="77777777" w:rsidR="00133EC4" w:rsidRDefault="00133EC4" w:rsidP="00133EC4">
      <w:pPr>
        <w:pStyle w:val="ListParagraph"/>
        <w:numPr>
          <w:ilvl w:val="0"/>
          <w:numId w:val="1"/>
        </w:numPr>
      </w:pPr>
      <w:r>
        <w:t>Borrowing requirements and strategy</w:t>
      </w:r>
    </w:p>
    <w:p w14:paraId="2F509D5B" w14:textId="77777777" w:rsidR="00133EC4" w:rsidRDefault="00133EC4" w:rsidP="00133EC4">
      <w:pPr>
        <w:pStyle w:val="ListParagraph"/>
        <w:numPr>
          <w:ilvl w:val="0"/>
          <w:numId w:val="1"/>
        </w:numPr>
      </w:pPr>
      <w:r>
        <w:t>Annual Revenue Provision policy statement</w:t>
      </w:r>
    </w:p>
    <w:p w14:paraId="42B165C1" w14:textId="77777777" w:rsidR="00133EC4" w:rsidRDefault="00133EC4" w:rsidP="00133EC4">
      <w:pPr>
        <w:pStyle w:val="ListParagraph"/>
        <w:numPr>
          <w:ilvl w:val="0"/>
          <w:numId w:val="1"/>
        </w:numPr>
      </w:pPr>
      <w:r>
        <w:t>The investment strategy</w:t>
      </w:r>
    </w:p>
    <w:p w14:paraId="2A9971B5" w14:textId="77777777" w:rsidR="006A0640" w:rsidRDefault="00133EC4" w:rsidP="00133EC4">
      <w:pPr>
        <w:pStyle w:val="ListParagraph"/>
        <w:numPr>
          <w:ilvl w:val="0"/>
          <w:numId w:val="1"/>
        </w:numPr>
      </w:pPr>
      <w:r>
        <w:t xml:space="preserve">Debt rescheduling options; and </w:t>
      </w:r>
    </w:p>
    <w:p w14:paraId="5BAC095D" w14:textId="77777777" w:rsidR="00133EC4" w:rsidRDefault="00133EC4" w:rsidP="00133EC4">
      <w:pPr>
        <w:pStyle w:val="ListParagraph"/>
        <w:numPr>
          <w:ilvl w:val="0"/>
          <w:numId w:val="1"/>
        </w:numPr>
      </w:pPr>
      <w:r>
        <w:t xml:space="preserve">treasury management and prudential indicators for the period </w:t>
      </w:r>
      <w:r w:rsidR="00D15439">
        <w:t>20</w:t>
      </w:r>
      <w:r w:rsidR="00567498">
        <w:t>20-21</w:t>
      </w:r>
      <w:r w:rsidR="000B38B3">
        <w:t xml:space="preserve"> to </w:t>
      </w:r>
      <w:r w:rsidR="00D15439">
        <w:t>202</w:t>
      </w:r>
      <w:r w:rsidR="00567498">
        <w:t>3</w:t>
      </w:r>
      <w:r w:rsidR="00D650F7">
        <w:t>/2</w:t>
      </w:r>
      <w:r w:rsidR="00567498">
        <w:t>4</w:t>
      </w:r>
    </w:p>
    <w:p w14:paraId="71F0221A" w14:textId="77777777" w:rsidR="00133EC4" w:rsidRDefault="00133EC4" w:rsidP="00133EC4">
      <w:r>
        <w:t xml:space="preserve">1.4 </w:t>
      </w:r>
      <w:r>
        <w:tab/>
        <w:t xml:space="preserve">It is a statutory requirement under s33 of the Local Government Finance Act 1992 for the Authority to produce a balanced budget. </w:t>
      </w:r>
      <w:proofErr w:type="gramStart"/>
      <w:r>
        <w:t>In particular, s32</w:t>
      </w:r>
      <w:proofErr w:type="gramEnd"/>
      <w:r>
        <w:t xml:space="preserve"> requires the Authority to calculate its budget requirement for each financial year to include the revenue costs that flow from </w:t>
      </w:r>
      <w:r w:rsidR="005B5E63">
        <w:t>Capital</w:t>
      </w:r>
      <w:r>
        <w:t xml:space="preserve"> financing decision. This </w:t>
      </w:r>
      <w:r w:rsidR="00685EE8">
        <w:t xml:space="preserve">means that </w:t>
      </w:r>
      <w:r w:rsidR="005B5E63">
        <w:t>Capital</w:t>
      </w:r>
      <w:r w:rsidR="00685EE8">
        <w:t xml:space="preserve"> spending increases that lead to increases in revenue costs, whether from additional borrowing or running costs, must be limited to a level which is affordable within the projected income of the Authority for the foreseeable future.</w:t>
      </w:r>
    </w:p>
    <w:p w14:paraId="2459402D" w14:textId="77777777" w:rsidR="006A0640" w:rsidRDefault="006A0640" w:rsidP="006A0640">
      <w:pPr>
        <w:autoSpaceDE w:val="0"/>
        <w:autoSpaceDN w:val="0"/>
        <w:adjustRightInd w:val="0"/>
        <w:rPr>
          <w:rFonts w:cs="ArialMT"/>
        </w:rPr>
      </w:pPr>
      <w:r w:rsidRPr="006A0640">
        <w:t>1.5</w:t>
      </w:r>
      <w:r w:rsidRPr="006A0640">
        <w:tab/>
      </w:r>
      <w:r w:rsidRPr="006A0640">
        <w:rPr>
          <w:rFonts w:cs="ArialMT"/>
        </w:rPr>
        <w:t xml:space="preserve">The </w:t>
      </w:r>
      <w:r w:rsidR="007339D1">
        <w:rPr>
          <w:rFonts w:cs="ArialMT"/>
        </w:rPr>
        <w:t xml:space="preserve">Authority’s Treasury Management is provided under a Service Level Agreement (SLA) by St Helens Council. The </w:t>
      </w:r>
      <w:r w:rsidRPr="006A0640">
        <w:rPr>
          <w:rFonts w:cs="ArialMT"/>
        </w:rPr>
        <w:t>Council uses Link Asset Services as its external treasury management</w:t>
      </w:r>
      <w:r>
        <w:rPr>
          <w:rFonts w:cs="ArialMT"/>
        </w:rPr>
        <w:t xml:space="preserve"> </w:t>
      </w:r>
      <w:r w:rsidRPr="006A0640">
        <w:rPr>
          <w:rFonts w:cs="ArialMT"/>
        </w:rPr>
        <w:t>advisors</w:t>
      </w:r>
      <w:r w:rsidR="007339D1">
        <w:rPr>
          <w:rFonts w:cs="ArialMT"/>
        </w:rPr>
        <w:t>; Link work on behalf of both the Council and MRWA</w:t>
      </w:r>
      <w:r w:rsidRPr="006A0640">
        <w:rPr>
          <w:rFonts w:cs="ArialMT"/>
        </w:rPr>
        <w:t xml:space="preserve">. </w:t>
      </w:r>
      <w:r w:rsidR="007339D1">
        <w:rPr>
          <w:rFonts w:cs="ArialMT"/>
        </w:rPr>
        <w:t xml:space="preserve">MRWA </w:t>
      </w:r>
      <w:r w:rsidRPr="006A0640">
        <w:rPr>
          <w:rFonts w:cs="ArialMT"/>
        </w:rPr>
        <w:t xml:space="preserve">recognises that </w:t>
      </w:r>
      <w:r w:rsidR="007339D1">
        <w:rPr>
          <w:rFonts w:cs="ArialMT"/>
        </w:rPr>
        <w:t xml:space="preserve">regardless of the delegations via the SLA, </w:t>
      </w:r>
      <w:r w:rsidRPr="006A0640">
        <w:rPr>
          <w:rFonts w:cs="ArialMT"/>
        </w:rPr>
        <w:t>respons</w:t>
      </w:r>
      <w:r>
        <w:rPr>
          <w:rFonts w:cs="ArialMT"/>
        </w:rPr>
        <w:t xml:space="preserve">ibility for treasury management </w:t>
      </w:r>
      <w:r w:rsidRPr="006A0640">
        <w:rPr>
          <w:rFonts w:cs="ArialMT"/>
        </w:rPr>
        <w:t xml:space="preserve">decisions </w:t>
      </w:r>
      <w:proofErr w:type="gramStart"/>
      <w:r w:rsidRPr="006A0640">
        <w:rPr>
          <w:rFonts w:cs="ArialMT"/>
        </w:rPr>
        <w:t>remains with the organisation at all t</w:t>
      </w:r>
      <w:r>
        <w:rPr>
          <w:rFonts w:cs="ArialMT"/>
        </w:rPr>
        <w:t>imes</w:t>
      </w:r>
      <w:proofErr w:type="gramEnd"/>
      <w:r>
        <w:rPr>
          <w:rFonts w:cs="ArialMT"/>
        </w:rPr>
        <w:t xml:space="preserve"> and will ensure that undue </w:t>
      </w:r>
      <w:r w:rsidRPr="006A0640">
        <w:rPr>
          <w:rFonts w:cs="ArialMT"/>
        </w:rPr>
        <w:t>reliance is not placed upon our external service providers.</w:t>
      </w:r>
      <w:r>
        <w:rPr>
          <w:rFonts w:cs="ArialMT"/>
        </w:rPr>
        <w:t xml:space="preserve"> </w:t>
      </w:r>
    </w:p>
    <w:p w14:paraId="0EFFB439" w14:textId="1924AF36" w:rsidR="006A0640" w:rsidRPr="006A0640" w:rsidRDefault="00802E87" w:rsidP="00802E87">
      <w:pPr>
        <w:autoSpaceDE w:val="0"/>
        <w:autoSpaceDN w:val="0"/>
        <w:adjustRightInd w:val="0"/>
        <w:rPr>
          <w:rFonts w:cs="ArialMT"/>
        </w:rPr>
      </w:pPr>
      <w:r>
        <w:rPr>
          <w:rFonts w:cs="ArialMT"/>
        </w:rPr>
        <w:t>1.6</w:t>
      </w:r>
      <w:r>
        <w:rPr>
          <w:rFonts w:cs="ArialMT"/>
        </w:rPr>
        <w:tab/>
        <w:t>The Authority</w:t>
      </w:r>
      <w:r w:rsidR="006A0640" w:rsidRPr="006A0640">
        <w:rPr>
          <w:rFonts w:cs="ArialMT"/>
        </w:rPr>
        <w:t xml:space="preserve"> also recognises that there is value in </w:t>
      </w:r>
      <w:r w:rsidR="006A0640">
        <w:rPr>
          <w:rFonts w:cs="ArialMT"/>
        </w:rPr>
        <w:t xml:space="preserve">employing external providers of </w:t>
      </w:r>
      <w:r w:rsidR="006A0640" w:rsidRPr="006A0640">
        <w:rPr>
          <w:rFonts w:cs="ArialMT"/>
        </w:rPr>
        <w:t>treasury management services in order to acqu</w:t>
      </w:r>
      <w:r w:rsidR="006A0640">
        <w:rPr>
          <w:rFonts w:cs="ArialMT"/>
        </w:rPr>
        <w:t xml:space="preserve">ire access to specialist skills </w:t>
      </w:r>
      <w:r w:rsidR="006A0640" w:rsidRPr="006A0640">
        <w:rPr>
          <w:rFonts w:cs="ArialMT"/>
        </w:rPr>
        <w:t xml:space="preserve">and resources. The </w:t>
      </w:r>
      <w:r w:rsidR="007339D1">
        <w:rPr>
          <w:rFonts w:cs="ArialMT"/>
        </w:rPr>
        <w:t>Authority, together with the Council</w:t>
      </w:r>
      <w:r w:rsidR="006A0640" w:rsidRPr="006A0640">
        <w:rPr>
          <w:rFonts w:cs="ArialMT"/>
        </w:rPr>
        <w:t xml:space="preserve"> will ensure that the terms of their appointment</w:t>
      </w:r>
      <w:r w:rsidR="006A0640">
        <w:rPr>
          <w:rFonts w:cs="ArialMT"/>
        </w:rPr>
        <w:t xml:space="preserve"> </w:t>
      </w:r>
      <w:r w:rsidR="006A0640" w:rsidRPr="006A0640">
        <w:rPr>
          <w:rFonts w:cs="ArialMT"/>
        </w:rPr>
        <w:t xml:space="preserve">and the methods </w:t>
      </w:r>
      <w:r w:rsidR="006A0640">
        <w:rPr>
          <w:rFonts w:cs="ArialMT"/>
        </w:rPr>
        <w:t>b</w:t>
      </w:r>
      <w:r w:rsidR="007339D1">
        <w:rPr>
          <w:rFonts w:cs="ArialMT"/>
        </w:rPr>
        <w:t>y</w:t>
      </w:r>
      <w:r w:rsidR="006A0640">
        <w:rPr>
          <w:rFonts w:cs="ArialMT"/>
        </w:rPr>
        <w:t xml:space="preserve"> </w:t>
      </w:r>
      <w:r w:rsidR="006A0640" w:rsidRPr="006A0640">
        <w:rPr>
          <w:rFonts w:cs="ArialMT"/>
        </w:rPr>
        <w:t>which their value will be assessed are properly agreed</w:t>
      </w:r>
      <w:r w:rsidR="006A0640">
        <w:rPr>
          <w:rFonts w:cs="ArialMT"/>
        </w:rPr>
        <w:t xml:space="preserve"> </w:t>
      </w:r>
      <w:r w:rsidR="006A0640" w:rsidRPr="006A0640">
        <w:rPr>
          <w:rFonts w:cs="ArialMT"/>
        </w:rPr>
        <w:t>a</w:t>
      </w:r>
      <w:r w:rsidR="007339D1">
        <w:rPr>
          <w:rFonts w:cs="ArialMT"/>
        </w:rPr>
        <w:t>nd documented and subjected to</w:t>
      </w:r>
      <w:r w:rsidR="006A0640">
        <w:rPr>
          <w:rFonts w:cs="ArialMT"/>
        </w:rPr>
        <w:t xml:space="preserve"> </w:t>
      </w:r>
      <w:r w:rsidR="006A0640" w:rsidRPr="006A0640">
        <w:rPr>
          <w:rFonts w:cs="ArialMT"/>
        </w:rPr>
        <w:t>regular review.</w:t>
      </w:r>
    </w:p>
    <w:p w14:paraId="02B1B931" w14:textId="2F5B66CC" w:rsidR="006A0640" w:rsidRDefault="006A0640" w:rsidP="006A0640">
      <w:pPr>
        <w:autoSpaceDE w:val="0"/>
        <w:autoSpaceDN w:val="0"/>
        <w:adjustRightInd w:val="0"/>
        <w:spacing w:after="0" w:line="240" w:lineRule="auto"/>
        <w:rPr>
          <w:rFonts w:cs="ArialMT"/>
        </w:rPr>
      </w:pPr>
      <w:r w:rsidRPr="006A0640">
        <w:rPr>
          <w:rFonts w:cs="ArialMT"/>
        </w:rPr>
        <w:lastRenderedPageBreak/>
        <w:t>1.</w:t>
      </w:r>
      <w:r w:rsidR="00802E87">
        <w:rPr>
          <w:rFonts w:cs="ArialMT"/>
        </w:rPr>
        <w:t>7</w:t>
      </w:r>
      <w:r w:rsidRPr="006A0640">
        <w:rPr>
          <w:rFonts w:cs="ArialMT"/>
        </w:rPr>
        <w:tab/>
        <w:t xml:space="preserve">In December 2017, CIPFA issued </w:t>
      </w:r>
      <w:r>
        <w:rPr>
          <w:rFonts w:cs="ArialMT"/>
        </w:rPr>
        <w:t xml:space="preserve">revised Prudential and Treasury Management Codes. As </w:t>
      </w:r>
      <w:r w:rsidR="00D15439">
        <w:rPr>
          <w:rFonts w:cs="ArialMT"/>
        </w:rPr>
        <w:t xml:space="preserve">a </w:t>
      </w:r>
      <w:proofErr w:type="gramStart"/>
      <w:r w:rsidR="00D15439">
        <w:rPr>
          <w:rFonts w:cs="ArialMT"/>
        </w:rPr>
        <w:t>result</w:t>
      </w:r>
      <w:proofErr w:type="gramEnd"/>
      <w:r w:rsidR="00D15439">
        <w:rPr>
          <w:rFonts w:cs="ArialMT"/>
        </w:rPr>
        <w:t xml:space="preserve"> </w:t>
      </w:r>
      <w:r w:rsidRPr="006A0640">
        <w:rPr>
          <w:rFonts w:cs="ArialMT"/>
        </w:rPr>
        <w:t xml:space="preserve">all local </w:t>
      </w:r>
      <w:r w:rsidR="00D15439">
        <w:rPr>
          <w:rFonts w:cs="ArialMT"/>
        </w:rPr>
        <w:t xml:space="preserve">authorities are </w:t>
      </w:r>
      <w:r>
        <w:rPr>
          <w:rFonts w:cs="ArialMT"/>
        </w:rPr>
        <w:t xml:space="preserve">required to </w:t>
      </w:r>
      <w:r w:rsidRPr="006A0640">
        <w:rPr>
          <w:rFonts w:cs="ArialMT"/>
        </w:rPr>
        <w:t>prepare a Capital Strateg</w:t>
      </w:r>
      <w:r>
        <w:rPr>
          <w:rFonts w:cs="ArialMT"/>
        </w:rPr>
        <w:t xml:space="preserve">y report, which is intended to provide the </w:t>
      </w:r>
      <w:r w:rsidR="008F6054">
        <w:rPr>
          <w:rFonts w:cs="ArialMT"/>
        </w:rPr>
        <w:t>following: -</w:t>
      </w:r>
    </w:p>
    <w:p w14:paraId="771A2F0A" w14:textId="77777777" w:rsidR="007339D1" w:rsidRDefault="007339D1" w:rsidP="006A0640">
      <w:pPr>
        <w:autoSpaceDE w:val="0"/>
        <w:autoSpaceDN w:val="0"/>
        <w:adjustRightInd w:val="0"/>
        <w:spacing w:after="0" w:line="240" w:lineRule="auto"/>
        <w:rPr>
          <w:rFonts w:cs="ArialMT"/>
        </w:rPr>
      </w:pPr>
    </w:p>
    <w:p w14:paraId="428B9336" w14:textId="77777777" w:rsidR="006A0640" w:rsidRPr="006A0640" w:rsidRDefault="006A0640" w:rsidP="006A0640">
      <w:pPr>
        <w:pStyle w:val="ListParagraph"/>
        <w:numPr>
          <w:ilvl w:val="0"/>
          <w:numId w:val="11"/>
        </w:numPr>
        <w:autoSpaceDE w:val="0"/>
        <w:autoSpaceDN w:val="0"/>
        <w:adjustRightInd w:val="0"/>
        <w:spacing w:after="0" w:line="240" w:lineRule="auto"/>
        <w:rPr>
          <w:rFonts w:cs="ArialMT"/>
        </w:rPr>
      </w:pPr>
      <w:r w:rsidRPr="006A0640">
        <w:rPr>
          <w:rFonts w:cs="ArialMT"/>
        </w:rPr>
        <w:t>a high-level overview of how capital expenditure, capital financing and treasury management activity contribute to the provision of services;</w:t>
      </w:r>
    </w:p>
    <w:p w14:paraId="7F9B63D7" w14:textId="77777777" w:rsidR="006A0640" w:rsidRPr="006A0640" w:rsidRDefault="006A0640" w:rsidP="006A0640">
      <w:pPr>
        <w:pStyle w:val="ListParagraph"/>
        <w:numPr>
          <w:ilvl w:val="0"/>
          <w:numId w:val="11"/>
        </w:numPr>
        <w:autoSpaceDE w:val="0"/>
        <w:autoSpaceDN w:val="0"/>
        <w:adjustRightInd w:val="0"/>
        <w:spacing w:after="0" w:line="240" w:lineRule="auto"/>
        <w:rPr>
          <w:rFonts w:cs="ArialMT"/>
        </w:rPr>
      </w:pPr>
      <w:r w:rsidRPr="006A0640">
        <w:rPr>
          <w:rFonts w:cs="ArialMT"/>
        </w:rPr>
        <w:t>an overview of how associated risk is managed; and</w:t>
      </w:r>
    </w:p>
    <w:p w14:paraId="07523E86" w14:textId="77777777" w:rsidR="006A0640" w:rsidRPr="006A0640" w:rsidRDefault="006A0640" w:rsidP="006A0640">
      <w:pPr>
        <w:pStyle w:val="ListParagraph"/>
        <w:numPr>
          <w:ilvl w:val="0"/>
          <w:numId w:val="11"/>
        </w:numPr>
        <w:autoSpaceDE w:val="0"/>
        <w:autoSpaceDN w:val="0"/>
        <w:adjustRightInd w:val="0"/>
        <w:spacing w:after="0" w:line="240" w:lineRule="auto"/>
        <w:rPr>
          <w:rFonts w:cs="ArialMT"/>
        </w:rPr>
      </w:pPr>
      <w:r w:rsidRPr="006A0640">
        <w:rPr>
          <w:rFonts w:cs="ArialMT"/>
        </w:rPr>
        <w:t>the implications for future financial sustainability.</w:t>
      </w:r>
    </w:p>
    <w:p w14:paraId="79354144" w14:textId="77777777" w:rsidR="006A0640" w:rsidRDefault="006A0640" w:rsidP="006A0640">
      <w:pPr>
        <w:pStyle w:val="ListParagraph"/>
        <w:autoSpaceDE w:val="0"/>
        <w:autoSpaceDN w:val="0"/>
        <w:adjustRightInd w:val="0"/>
        <w:spacing w:after="0" w:line="240" w:lineRule="auto"/>
        <w:ind w:left="1080" w:firstLine="0"/>
        <w:rPr>
          <w:rFonts w:cs="ArialMT"/>
        </w:rPr>
      </w:pPr>
    </w:p>
    <w:p w14:paraId="0B15BC73" w14:textId="77777777" w:rsidR="006A0640" w:rsidRDefault="00802E87" w:rsidP="00802E87">
      <w:pPr>
        <w:autoSpaceDE w:val="0"/>
        <w:autoSpaceDN w:val="0"/>
        <w:adjustRightInd w:val="0"/>
        <w:spacing w:after="0" w:line="240" w:lineRule="auto"/>
        <w:rPr>
          <w:rFonts w:cs="ArialMT"/>
        </w:rPr>
      </w:pPr>
      <w:r>
        <w:rPr>
          <w:rFonts w:cs="ArialMT"/>
        </w:rPr>
        <w:t>1.8</w:t>
      </w:r>
      <w:r>
        <w:rPr>
          <w:rFonts w:cs="ArialMT"/>
        </w:rPr>
        <w:tab/>
      </w:r>
      <w:r w:rsidR="006A0640" w:rsidRPr="007339D1">
        <w:rPr>
          <w:rFonts w:cs="ArialMT"/>
        </w:rPr>
        <w:t xml:space="preserve">The aim of the report is to ensure that all </w:t>
      </w:r>
      <w:r w:rsidR="007F3C88">
        <w:rPr>
          <w:rFonts w:cs="ArialMT"/>
        </w:rPr>
        <w:t>Authority</w:t>
      </w:r>
      <w:r w:rsidR="006A0640" w:rsidRPr="007339D1">
        <w:rPr>
          <w:rFonts w:cs="ArialMT"/>
        </w:rPr>
        <w:t xml:space="preserve"> Members fully understand</w:t>
      </w:r>
      <w:r w:rsidR="007339D1">
        <w:rPr>
          <w:rFonts w:cs="ArialMT"/>
        </w:rPr>
        <w:t xml:space="preserve"> </w:t>
      </w:r>
      <w:r w:rsidR="006A0640" w:rsidRPr="006A0640">
        <w:rPr>
          <w:rFonts w:cs="ArialMT"/>
        </w:rPr>
        <w:t>the overall strategy, governance procedures and risk appetite entailed by this</w:t>
      </w:r>
      <w:r w:rsidR="007339D1">
        <w:rPr>
          <w:rFonts w:cs="ArialMT"/>
        </w:rPr>
        <w:t xml:space="preserve"> </w:t>
      </w:r>
      <w:r w:rsidR="006A0640" w:rsidRPr="006A0640">
        <w:rPr>
          <w:rFonts w:cs="ArialMT"/>
        </w:rPr>
        <w:t xml:space="preserve">strategy and a Capital Strategy </w:t>
      </w:r>
      <w:r w:rsidR="007339D1">
        <w:rPr>
          <w:rFonts w:cs="ArialMT"/>
        </w:rPr>
        <w:t>has been prepared and is attached as an annex to this document</w:t>
      </w:r>
      <w:r w:rsidR="006A0640" w:rsidRPr="006A0640">
        <w:rPr>
          <w:rFonts w:cs="ArialMT"/>
        </w:rPr>
        <w:t>.</w:t>
      </w:r>
      <w:r w:rsidR="007339D1">
        <w:rPr>
          <w:rFonts w:cs="ArialMT"/>
        </w:rPr>
        <w:t xml:space="preserve"> </w:t>
      </w:r>
      <w:r w:rsidR="006A0640" w:rsidRPr="006A0640">
        <w:rPr>
          <w:rFonts w:cs="ArialMT"/>
        </w:rPr>
        <w:t xml:space="preserve">The Strategy </w:t>
      </w:r>
      <w:r w:rsidR="007339D1">
        <w:rPr>
          <w:rFonts w:cs="ArialMT"/>
        </w:rPr>
        <w:t>seeks to</w:t>
      </w:r>
      <w:r w:rsidR="006A0640" w:rsidRPr="006A0640">
        <w:rPr>
          <w:rFonts w:cs="ArialMT"/>
        </w:rPr>
        <w:t xml:space="preserve"> formalise existing current working arrangements and all</w:t>
      </w:r>
      <w:r w:rsidR="007339D1">
        <w:rPr>
          <w:rFonts w:cs="ArialMT"/>
        </w:rPr>
        <w:t xml:space="preserve"> </w:t>
      </w:r>
      <w:r w:rsidR="006A0640" w:rsidRPr="006A0640">
        <w:rPr>
          <w:rFonts w:cs="ArialMT"/>
        </w:rPr>
        <w:t>capital decisions will be taken i</w:t>
      </w:r>
      <w:r w:rsidR="007339D1">
        <w:rPr>
          <w:rFonts w:cs="ArialMT"/>
        </w:rPr>
        <w:t xml:space="preserve">n line with the usual </w:t>
      </w:r>
      <w:r w:rsidR="006A0640" w:rsidRPr="006A0640">
        <w:rPr>
          <w:rFonts w:cs="ArialMT"/>
        </w:rPr>
        <w:t>governance</w:t>
      </w:r>
      <w:r w:rsidR="007339D1">
        <w:rPr>
          <w:rFonts w:cs="ArialMT"/>
        </w:rPr>
        <w:t xml:space="preserve"> </w:t>
      </w:r>
      <w:r w:rsidR="006A0640" w:rsidRPr="006A0640">
        <w:rPr>
          <w:rFonts w:cs="ArialMT"/>
        </w:rPr>
        <w:t>arrangements, protocols and procedures.</w:t>
      </w:r>
      <w:r w:rsidR="00423E3C">
        <w:rPr>
          <w:rFonts w:cs="ArialMT"/>
        </w:rPr>
        <w:t xml:space="preserve"> The Capital Strategy is detailed at Annex 6.</w:t>
      </w:r>
    </w:p>
    <w:p w14:paraId="5BEB4D3C" w14:textId="77777777" w:rsidR="007339D1" w:rsidRPr="006A0640" w:rsidRDefault="007339D1" w:rsidP="007339D1">
      <w:pPr>
        <w:autoSpaceDE w:val="0"/>
        <w:autoSpaceDN w:val="0"/>
        <w:adjustRightInd w:val="0"/>
        <w:spacing w:after="0" w:line="240" w:lineRule="auto"/>
        <w:ind w:firstLine="0"/>
        <w:rPr>
          <w:rFonts w:cs="ArialMT"/>
        </w:rPr>
      </w:pPr>
    </w:p>
    <w:p w14:paraId="6CFEDF3F" w14:textId="77777777" w:rsidR="006A0640" w:rsidRPr="007339D1" w:rsidRDefault="006A0640" w:rsidP="007339D1">
      <w:pPr>
        <w:autoSpaceDE w:val="0"/>
        <w:autoSpaceDN w:val="0"/>
        <w:adjustRightInd w:val="0"/>
        <w:spacing w:after="0" w:line="240" w:lineRule="auto"/>
        <w:rPr>
          <w:rFonts w:cs="ArialMT"/>
        </w:rPr>
      </w:pPr>
    </w:p>
    <w:p w14:paraId="08C755AC" w14:textId="77777777" w:rsidR="006A0640" w:rsidRPr="006A0640" w:rsidRDefault="006A0640" w:rsidP="00133EC4"/>
    <w:p w14:paraId="622E5C9B" w14:textId="77777777" w:rsidR="00B66274" w:rsidRDefault="00B66274">
      <w:r>
        <w:br w:type="page"/>
      </w:r>
    </w:p>
    <w:p w14:paraId="27A39E32" w14:textId="77777777" w:rsidR="00685EE8" w:rsidRDefault="00685EE8" w:rsidP="00133EC4">
      <w:pPr>
        <w:rPr>
          <w:b/>
        </w:rPr>
      </w:pPr>
      <w:r w:rsidRPr="00685EE8">
        <w:rPr>
          <w:b/>
        </w:rPr>
        <w:lastRenderedPageBreak/>
        <w:t>2</w:t>
      </w:r>
      <w:r w:rsidRPr="00685EE8">
        <w:rPr>
          <w:b/>
        </w:rPr>
        <w:tab/>
        <w:t>Current Treasury position</w:t>
      </w:r>
    </w:p>
    <w:p w14:paraId="4AF8AF9E" w14:textId="77777777" w:rsidR="00DC7DD9" w:rsidRPr="00685EE8" w:rsidRDefault="00DC7DD9" w:rsidP="00DC7DD9">
      <w:pPr>
        <w:ind w:left="1440"/>
        <w:rPr>
          <w:b/>
        </w:rPr>
      </w:pPr>
      <w:r>
        <w:rPr>
          <w:b/>
        </w:rPr>
        <w:t>Borrowing</w:t>
      </w:r>
    </w:p>
    <w:p w14:paraId="417616DE" w14:textId="77777777" w:rsidR="00685EE8" w:rsidRDefault="00685EE8" w:rsidP="00133EC4">
      <w:r>
        <w:t>2.1</w:t>
      </w:r>
      <w:r>
        <w:tab/>
        <w:t>At the time of writing this report the Authority currently has outstanding external borrowing of</w:t>
      </w:r>
      <w:r w:rsidR="00DC7DD9">
        <w:t xml:space="preserve"> </w:t>
      </w:r>
      <w:r w:rsidR="002D7CC8" w:rsidRPr="002D7CC8">
        <w:t>£41.83M</w:t>
      </w:r>
      <w:r w:rsidR="00DC7DD9" w:rsidRPr="002D7CC8">
        <w:t xml:space="preserve"> </w:t>
      </w:r>
      <w:r w:rsidR="00DC7DD9">
        <w:t>which</w:t>
      </w:r>
      <w:r w:rsidR="009F62AB">
        <w:t xml:space="preserve"> </w:t>
      </w:r>
      <w:r w:rsidR="00DC7DD9">
        <w:t>includes:</w:t>
      </w:r>
    </w:p>
    <w:p w14:paraId="6A580DA6" w14:textId="77777777" w:rsidR="00FA272F" w:rsidRDefault="00FA272F" w:rsidP="00133EC4"/>
    <w:tbl>
      <w:tblPr>
        <w:tblStyle w:val="TableGrid"/>
        <w:tblW w:w="0" w:type="auto"/>
        <w:tblInd w:w="1101" w:type="dxa"/>
        <w:tblLook w:val="04A0" w:firstRow="1" w:lastRow="0" w:firstColumn="1" w:lastColumn="0" w:noHBand="0" w:noVBand="1"/>
      </w:tblPr>
      <w:tblGrid>
        <w:gridCol w:w="3969"/>
        <w:gridCol w:w="1984"/>
        <w:gridCol w:w="1559"/>
      </w:tblGrid>
      <w:tr w:rsidR="00980FBE" w:rsidRPr="00980FBE" w14:paraId="5C77C1DE" w14:textId="77777777" w:rsidTr="00BA7534">
        <w:tc>
          <w:tcPr>
            <w:tcW w:w="3969" w:type="dxa"/>
            <w:tcBorders>
              <w:bottom w:val="single" w:sz="4" w:space="0" w:color="auto"/>
            </w:tcBorders>
          </w:tcPr>
          <w:p w14:paraId="4F1092B0" w14:textId="77777777" w:rsidR="00DC7DD9" w:rsidRPr="00980FBE" w:rsidRDefault="00DC7DD9" w:rsidP="00D15439">
            <w:pPr>
              <w:rPr>
                <w:b/>
              </w:rPr>
            </w:pPr>
            <w:r w:rsidRPr="00980FBE">
              <w:rPr>
                <w:b/>
              </w:rPr>
              <w:t xml:space="preserve">Outstanding debt at </w:t>
            </w:r>
            <w:r w:rsidR="00D15439">
              <w:rPr>
                <w:b/>
              </w:rPr>
              <w:t>15/1/2020</w:t>
            </w:r>
          </w:p>
        </w:tc>
        <w:tc>
          <w:tcPr>
            <w:tcW w:w="1984" w:type="dxa"/>
            <w:tcBorders>
              <w:bottom w:val="single" w:sz="4" w:space="0" w:color="auto"/>
            </w:tcBorders>
          </w:tcPr>
          <w:p w14:paraId="49D84DAB" w14:textId="77777777" w:rsidR="00DC7DD9" w:rsidRPr="00980FBE" w:rsidRDefault="00DC7DD9" w:rsidP="00BA7534">
            <w:pPr>
              <w:jc w:val="center"/>
              <w:rPr>
                <w:b/>
              </w:rPr>
            </w:pPr>
            <w:r w:rsidRPr="00980FBE">
              <w:rPr>
                <w:b/>
              </w:rPr>
              <w:t>Principal</w:t>
            </w:r>
          </w:p>
          <w:p w14:paraId="0A2869E6" w14:textId="77777777" w:rsidR="00DC7DD9" w:rsidRPr="00980FBE" w:rsidRDefault="00DC7DD9" w:rsidP="00BA7534">
            <w:pPr>
              <w:jc w:val="center"/>
              <w:rPr>
                <w:b/>
              </w:rPr>
            </w:pPr>
            <w:r w:rsidRPr="00980FBE">
              <w:rPr>
                <w:b/>
              </w:rPr>
              <w:t>£M</w:t>
            </w:r>
          </w:p>
        </w:tc>
        <w:tc>
          <w:tcPr>
            <w:tcW w:w="1559" w:type="dxa"/>
            <w:tcBorders>
              <w:bottom w:val="single" w:sz="4" w:space="0" w:color="auto"/>
            </w:tcBorders>
          </w:tcPr>
          <w:p w14:paraId="4B7348B0" w14:textId="77777777" w:rsidR="00DC7DD9" w:rsidRPr="00980FBE" w:rsidRDefault="00DC7DD9" w:rsidP="00BA7534">
            <w:pPr>
              <w:jc w:val="center"/>
              <w:rPr>
                <w:b/>
              </w:rPr>
            </w:pPr>
            <w:r w:rsidRPr="00980FBE">
              <w:rPr>
                <w:b/>
              </w:rPr>
              <w:t>Average rate</w:t>
            </w:r>
          </w:p>
          <w:p w14:paraId="20B86141" w14:textId="77777777" w:rsidR="00DC7DD9" w:rsidRPr="00980FBE" w:rsidRDefault="00DC7DD9" w:rsidP="00BA7534">
            <w:pPr>
              <w:jc w:val="center"/>
              <w:rPr>
                <w:b/>
              </w:rPr>
            </w:pPr>
            <w:r w:rsidRPr="00980FBE">
              <w:rPr>
                <w:b/>
              </w:rPr>
              <w:t>%</w:t>
            </w:r>
          </w:p>
        </w:tc>
      </w:tr>
      <w:tr w:rsidR="00980FBE" w:rsidRPr="00980FBE" w14:paraId="1155A9C4" w14:textId="77777777" w:rsidTr="00BA7534">
        <w:tc>
          <w:tcPr>
            <w:tcW w:w="3969" w:type="dxa"/>
            <w:tcBorders>
              <w:bottom w:val="nil"/>
            </w:tcBorders>
          </w:tcPr>
          <w:p w14:paraId="795557E2" w14:textId="77777777" w:rsidR="00DC7DD9" w:rsidRPr="00980FBE" w:rsidRDefault="00BA7534" w:rsidP="00133EC4">
            <w:r w:rsidRPr="00980FBE">
              <w:t>Public Works Loan Board (PWLB) debt</w:t>
            </w:r>
          </w:p>
        </w:tc>
        <w:tc>
          <w:tcPr>
            <w:tcW w:w="1984" w:type="dxa"/>
            <w:tcBorders>
              <w:bottom w:val="nil"/>
            </w:tcBorders>
          </w:tcPr>
          <w:p w14:paraId="5A196B11" w14:textId="77777777" w:rsidR="00DC7DD9" w:rsidRPr="002D7CC8" w:rsidRDefault="002D7CC8" w:rsidP="00A33B6E">
            <w:pPr>
              <w:jc w:val="center"/>
            </w:pPr>
            <w:r>
              <w:t>39.830</w:t>
            </w:r>
          </w:p>
        </w:tc>
        <w:tc>
          <w:tcPr>
            <w:tcW w:w="1559" w:type="dxa"/>
            <w:tcBorders>
              <w:bottom w:val="nil"/>
            </w:tcBorders>
          </w:tcPr>
          <w:p w14:paraId="1C2D4FA8" w14:textId="77777777" w:rsidR="00DC7DD9" w:rsidRPr="002D7CC8" w:rsidRDefault="002D7CC8" w:rsidP="004E51FD">
            <w:pPr>
              <w:jc w:val="center"/>
            </w:pPr>
            <w:r>
              <w:t>3.26</w:t>
            </w:r>
          </w:p>
        </w:tc>
      </w:tr>
      <w:tr w:rsidR="00980FBE" w:rsidRPr="00980FBE" w14:paraId="4764E66C" w14:textId="77777777" w:rsidTr="00BA7534">
        <w:tc>
          <w:tcPr>
            <w:tcW w:w="3969" w:type="dxa"/>
            <w:tcBorders>
              <w:top w:val="nil"/>
            </w:tcBorders>
          </w:tcPr>
          <w:p w14:paraId="1E5E6D7E" w14:textId="77777777" w:rsidR="00DC7DD9" w:rsidRPr="00980FBE" w:rsidRDefault="00BA7534" w:rsidP="00133EC4">
            <w:r w:rsidRPr="00980FBE">
              <w:t>Market Debt</w:t>
            </w:r>
          </w:p>
        </w:tc>
        <w:tc>
          <w:tcPr>
            <w:tcW w:w="1984" w:type="dxa"/>
            <w:tcBorders>
              <w:top w:val="nil"/>
            </w:tcBorders>
          </w:tcPr>
          <w:p w14:paraId="279B3179" w14:textId="77777777" w:rsidR="00DC7DD9" w:rsidRPr="002D7CC8" w:rsidRDefault="00BA7534" w:rsidP="00BA7534">
            <w:pPr>
              <w:jc w:val="center"/>
            </w:pPr>
            <w:r w:rsidRPr="002D7CC8">
              <w:t>2.000</w:t>
            </w:r>
          </w:p>
        </w:tc>
        <w:tc>
          <w:tcPr>
            <w:tcW w:w="1559" w:type="dxa"/>
            <w:tcBorders>
              <w:top w:val="nil"/>
            </w:tcBorders>
          </w:tcPr>
          <w:p w14:paraId="07C5B95D" w14:textId="77777777" w:rsidR="00DC7DD9" w:rsidRPr="002D7CC8" w:rsidRDefault="00BA7534" w:rsidP="00BA7534">
            <w:pPr>
              <w:jc w:val="center"/>
            </w:pPr>
            <w:r w:rsidRPr="002D7CC8">
              <w:t>4.01</w:t>
            </w:r>
          </w:p>
        </w:tc>
      </w:tr>
      <w:tr w:rsidR="00980FBE" w:rsidRPr="00980FBE" w14:paraId="534AD323" w14:textId="77777777" w:rsidTr="00DC7DD9">
        <w:tc>
          <w:tcPr>
            <w:tcW w:w="3969" w:type="dxa"/>
          </w:tcPr>
          <w:p w14:paraId="04E89B93" w14:textId="77777777" w:rsidR="00BA7534" w:rsidRPr="00980FBE" w:rsidRDefault="00BA7534" w:rsidP="00133EC4">
            <w:r w:rsidRPr="00980FBE">
              <w:t>Total debt</w:t>
            </w:r>
          </w:p>
        </w:tc>
        <w:tc>
          <w:tcPr>
            <w:tcW w:w="1984" w:type="dxa"/>
          </w:tcPr>
          <w:p w14:paraId="6AA4FDD0" w14:textId="77777777" w:rsidR="00BA7534" w:rsidRPr="002D7CC8" w:rsidRDefault="002D7CC8" w:rsidP="004E51FD">
            <w:pPr>
              <w:jc w:val="center"/>
            </w:pPr>
            <w:r>
              <w:t>41</w:t>
            </w:r>
            <w:r w:rsidR="00980FBE" w:rsidRPr="002D7CC8">
              <w:t>.</w:t>
            </w:r>
            <w:r w:rsidR="004E51FD" w:rsidRPr="002D7CC8">
              <w:t>830</w:t>
            </w:r>
          </w:p>
        </w:tc>
        <w:tc>
          <w:tcPr>
            <w:tcW w:w="1559" w:type="dxa"/>
          </w:tcPr>
          <w:p w14:paraId="56AA033B" w14:textId="77777777" w:rsidR="00BA7534" w:rsidRPr="002D7CC8" w:rsidRDefault="002D7CC8" w:rsidP="004E51FD">
            <w:pPr>
              <w:jc w:val="center"/>
            </w:pPr>
            <w:r>
              <w:t>3.30</w:t>
            </w:r>
          </w:p>
        </w:tc>
      </w:tr>
    </w:tbl>
    <w:p w14:paraId="7892C459" w14:textId="77777777" w:rsidR="00DC7DD9" w:rsidRDefault="00DC7DD9" w:rsidP="00133EC4"/>
    <w:p w14:paraId="318373FB" w14:textId="77777777" w:rsidR="00D650F7" w:rsidRDefault="00D650F7" w:rsidP="00567498">
      <w:pPr>
        <w:ind w:left="0" w:firstLine="0"/>
      </w:pPr>
    </w:p>
    <w:p w14:paraId="1B054285" w14:textId="77777777" w:rsidR="00BA7534" w:rsidRDefault="00D650F7" w:rsidP="00133EC4">
      <w:r>
        <w:t>2.</w:t>
      </w:r>
      <w:r w:rsidR="00567498">
        <w:t>2</w:t>
      </w:r>
      <w:r>
        <w:tab/>
      </w:r>
      <w:r w:rsidR="00BA7534">
        <w:t>The maturity profile of the Authority’s borrowing (both PWLB and market loans) is shown below:</w:t>
      </w:r>
    </w:p>
    <w:tbl>
      <w:tblPr>
        <w:tblStyle w:val="TableGrid"/>
        <w:tblW w:w="8049" w:type="dxa"/>
        <w:tblInd w:w="493" w:type="dxa"/>
        <w:tblLook w:val="04A0" w:firstRow="1" w:lastRow="0" w:firstColumn="1" w:lastColumn="0" w:noHBand="0" w:noVBand="1"/>
      </w:tblPr>
      <w:tblGrid>
        <w:gridCol w:w="2683"/>
        <w:gridCol w:w="2683"/>
        <w:gridCol w:w="2683"/>
      </w:tblGrid>
      <w:tr w:rsidR="00C81BD0" w14:paraId="6BB60019" w14:textId="77777777" w:rsidTr="007F3C88">
        <w:tc>
          <w:tcPr>
            <w:tcW w:w="2683" w:type="dxa"/>
          </w:tcPr>
          <w:p w14:paraId="33D5B618" w14:textId="77777777" w:rsidR="00C81BD0" w:rsidRPr="00381DCA" w:rsidRDefault="00C81BD0" w:rsidP="00133EC4">
            <w:pPr>
              <w:rPr>
                <w:b/>
              </w:rPr>
            </w:pPr>
            <w:r w:rsidRPr="00381DCA">
              <w:rPr>
                <w:b/>
              </w:rPr>
              <w:t>Loan source</w:t>
            </w:r>
          </w:p>
        </w:tc>
        <w:tc>
          <w:tcPr>
            <w:tcW w:w="2683" w:type="dxa"/>
          </w:tcPr>
          <w:p w14:paraId="28B77F07" w14:textId="77777777" w:rsidR="00C81BD0" w:rsidRPr="00381DCA" w:rsidRDefault="00C81BD0" w:rsidP="00133EC4">
            <w:pPr>
              <w:rPr>
                <w:b/>
              </w:rPr>
            </w:pPr>
            <w:r w:rsidRPr="00381DCA">
              <w:rPr>
                <w:b/>
              </w:rPr>
              <w:t>Amount</w:t>
            </w:r>
          </w:p>
          <w:p w14:paraId="2290EDE3" w14:textId="77777777" w:rsidR="00C81BD0" w:rsidRPr="00381DCA" w:rsidRDefault="00C81BD0" w:rsidP="00133EC4">
            <w:pPr>
              <w:rPr>
                <w:b/>
              </w:rPr>
            </w:pPr>
            <w:r w:rsidRPr="00381DCA">
              <w:rPr>
                <w:b/>
              </w:rPr>
              <w:t>£M</w:t>
            </w:r>
          </w:p>
        </w:tc>
        <w:tc>
          <w:tcPr>
            <w:tcW w:w="2683" w:type="dxa"/>
          </w:tcPr>
          <w:p w14:paraId="2D02D5BD" w14:textId="77777777" w:rsidR="00C81BD0" w:rsidRPr="00381DCA" w:rsidRDefault="00C81BD0" w:rsidP="00133EC4">
            <w:pPr>
              <w:rPr>
                <w:b/>
              </w:rPr>
            </w:pPr>
            <w:r w:rsidRPr="00381DCA">
              <w:rPr>
                <w:b/>
              </w:rPr>
              <w:t>Maturity</w:t>
            </w:r>
          </w:p>
          <w:p w14:paraId="60CE76F2" w14:textId="77777777" w:rsidR="00C81BD0" w:rsidRPr="00381DCA" w:rsidRDefault="00C81BD0" w:rsidP="00133EC4">
            <w:pPr>
              <w:rPr>
                <w:b/>
              </w:rPr>
            </w:pPr>
          </w:p>
        </w:tc>
      </w:tr>
      <w:tr w:rsidR="00C81BD0" w14:paraId="394249AB" w14:textId="77777777" w:rsidTr="007F3C88">
        <w:tc>
          <w:tcPr>
            <w:tcW w:w="2683" w:type="dxa"/>
          </w:tcPr>
          <w:p w14:paraId="402EA549" w14:textId="77777777" w:rsidR="00C81BD0" w:rsidRPr="00980FBE" w:rsidRDefault="00C81BD0" w:rsidP="00133EC4"/>
        </w:tc>
        <w:tc>
          <w:tcPr>
            <w:tcW w:w="2683" w:type="dxa"/>
          </w:tcPr>
          <w:p w14:paraId="5887B211" w14:textId="77777777" w:rsidR="00C81BD0" w:rsidRPr="00BB325D" w:rsidRDefault="00C81BD0" w:rsidP="00133EC4"/>
        </w:tc>
        <w:tc>
          <w:tcPr>
            <w:tcW w:w="2683" w:type="dxa"/>
          </w:tcPr>
          <w:p w14:paraId="68C71A21" w14:textId="77777777" w:rsidR="00C81BD0" w:rsidRPr="00BB325D" w:rsidRDefault="00C81BD0" w:rsidP="00133EC4">
            <w:r w:rsidRPr="00BB325D">
              <w:t>0 – 1 year</w:t>
            </w:r>
          </w:p>
        </w:tc>
      </w:tr>
      <w:tr w:rsidR="00567498" w14:paraId="220E0114" w14:textId="77777777" w:rsidTr="007F3C88">
        <w:tc>
          <w:tcPr>
            <w:tcW w:w="2683" w:type="dxa"/>
          </w:tcPr>
          <w:p w14:paraId="3F10EB41" w14:textId="77777777" w:rsidR="00567498" w:rsidRPr="00980FBE" w:rsidRDefault="00567498" w:rsidP="00567498">
            <w:r w:rsidRPr="00980FBE">
              <w:t>PWLB</w:t>
            </w:r>
          </w:p>
        </w:tc>
        <w:tc>
          <w:tcPr>
            <w:tcW w:w="2683" w:type="dxa"/>
          </w:tcPr>
          <w:p w14:paraId="071DF70E" w14:textId="77777777" w:rsidR="00567498" w:rsidRPr="00BB325D" w:rsidRDefault="00567498" w:rsidP="00567498">
            <w:r w:rsidRPr="00BB325D">
              <w:t>0.300</w:t>
            </w:r>
          </w:p>
        </w:tc>
        <w:tc>
          <w:tcPr>
            <w:tcW w:w="2683" w:type="dxa"/>
          </w:tcPr>
          <w:p w14:paraId="239B90C8" w14:textId="77777777" w:rsidR="00567498" w:rsidRPr="00BB325D" w:rsidRDefault="00567498" w:rsidP="00567498">
            <w:r w:rsidRPr="00BB325D">
              <w:t>1 – 5 years</w:t>
            </w:r>
          </w:p>
        </w:tc>
      </w:tr>
      <w:tr w:rsidR="00567498" w14:paraId="08E85AD0" w14:textId="77777777" w:rsidTr="007F3C88">
        <w:tc>
          <w:tcPr>
            <w:tcW w:w="2683" w:type="dxa"/>
          </w:tcPr>
          <w:p w14:paraId="0E4C2D7E" w14:textId="77777777" w:rsidR="00567498" w:rsidRPr="00980FBE" w:rsidRDefault="00567498" w:rsidP="00567498"/>
        </w:tc>
        <w:tc>
          <w:tcPr>
            <w:tcW w:w="2683" w:type="dxa"/>
          </w:tcPr>
          <w:p w14:paraId="1B79EA5B" w14:textId="77777777" w:rsidR="00567498" w:rsidRPr="00BB325D" w:rsidRDefault="00567498" w:rsidP="00567498"/>
        </w:tc>
        <w:tc>
          <w:tcPr>
            <w:tcW w:w="2683" w:type="dxa"/>
          </w:tcPr>
          <w:p w14:paraId="2F2065A6" w14:textId="77777777" w:rsidR="00567498" w:rsidRPr="00BB325D" w:rsidRDefault="00567498" w:rsidP="00567498">
            <w:r w:rsidRPr="00BB325D">
              <w:t>5 – 10 years</w:t>
            </w:r>
          </w:p>
        </w:tc>
      </w:tr>
      <w:tr w:rsidR="00567498" w14:paraId="33584477" w14:textId="77777777" w:rsidTr="007F3C88">
        <w:tc>
          <w:tcPr>
            <w:tcW w:w="2683" w:type="dxa"/>
          </w:tcPr>
          <w:p w14:paraId="54F0984E" w14:textId="77777777" w:rsidR="00567498" w:rsidRPr="00980FBE" w:rsidRDefault="00567498" w:rsidP="00567498">
            <w:r>
              <w:t>PWLB</w:t>
            </w:r>
          </w:p>
        </w:tc>
        <w:tc>
          <w:tcPr>
            <w:tcW w:w="2683" w:type="dxa"/>
          </w:tcPr>
          <w:p w14:paraId="2D0FD1C3" w14:textId="77777777" w:rsidR="00567498" w:rsidRPr="00BB325D" w:rsidRDefault="00567498" w:rsidP="00567498">
            <w:r>
              <w:t>3,000</w:t>
            </w:r>
          </w:p>
        </w:tc>
        <w:tc>
          <w:tcPr>
            <w:tcW w:w="2683" w:type="dxa"/>
          </w:tcPr>
          <w:p w14:paraId="52EEEF1E" w14:textId="77777777" w:rsidR="00567498" w:rsidRPr="00BB325D" w:rsidRDefault="00567498" w:rsidP="00567498">
            <w:r w:rsidRPr="00BB325D">
              <w:t>10 – 15 years</w:t>
            </w:r>
          </w:p>
        </w:tc>
      </w:tr>
      <w:tr w:rsidR="00567498" w14:paraId="1E5EAEC5" w14:textId="77777777" w:rsidTr="007F3C88">
        <w:tc>
          <w:tcPr>
            <w:tcW w:w="2683" w:type="dxa"/>
          </w:tcPr>
          <w:p w14:paraId="5C4758A7" w14:textId="77777777" w:rsidR="00567498" w:rsidRPr="00980FBE" w:rsidRDefault="00567498" w:rsidP="00567498">
            <w:r>
              <w:t>PWLB</w:t>
            </w:r>
          </w:p>
        </w:tc>
        <w:tc>
          <w:tcPr>
            <w:tcW w:w="2683" w:type="dxa"/>
          </w:tcPr>
          <w:p w14:paraId="3820ED30" w14:textId="77777777" w:rsidR="00567498" w:rsidRPr="00BB325D" w:rsidRDefault="00567498" w:rsidP="00567498">
            <w:r>
              <w:t>5.000</w:t>
            </w:r>
          </w:p>
        </w:tc>
        <w:tc>
          <w:tcPr>
            <w:tcW w:w="2683" w:type="dxa"/>
          </w:tcPr>
          <w:p w14:paraId="62382134" w14:textId="77777777" w:rsidR="00567498" w:rsidRPr="00BB325D" w:rsidRDefault="00567498" w:rsidP="00567498">
            <w:r w:rsidRPr="00BB325D">
              <w:t>15 – 20 years</w:t>
            </w:r>
          </w:p>
        </w:tc>
      </w:tr>
      <w:tr w:rsidR="00567498" w14:paraId="1CDAF793" w14:textId="77777777" w:rsidTr="007F3C88">
        <w:tc>
          <w:tcPr>
            <w:tcW w:w="2683" w:type="dxa"/>
          </w:tcPr>
          <w:p w14:paraId="31637E1B" w14:textId="77777777" w:rsidR="00567498" w:rsidRPr="00980FBE" w:rsidRDefault="00567498" w:rsidP="00567498">
            <w:r w:rsidRPr="00980FBE">
              <w:t>PWLB</w:t>
            </w:r>
          </w:p>
        </w:tc>
        <w:tc>
          <w:tcPr>
            <w:tcW w:w="2683" w:type="dxa"/>
          </w:tcPr>
          <w:p w14:paraId="50E990AC" w14:textId="77777777" w:rsidR="00567498" w:rsidRPr="00BB325D" w:rsidRDefault="00567498" w:rsidP="00567498">
            <w:r>
              <w:t>5.000</w:t>
            </w:r>
          </w:p>
        </w:tc>
        <w:tc>
          <w:tcPr>
            <w:tcW w:w="2683" w:type="dxa"/>
          </w:tcPr>
          <w:p w14:paraId="2B5FFF89" w14:textId="77777777" w:rsidR="00567498" w:rsidRPr="00BB325D" w:rsidRDefault="00567498" w:rsidP="00567498">
            <w:r w:rsidRPr="00BB325D">
              <w:t>20 – 25 years</w:t>
            </w:r>
          </w:p>
        </w:tc>
      </w:tr>
      <w:tr w:rsidR="00567498" w14:paraId="4E2B73DA" w14:textId="77777777" w:rsidTr="007F3C88">
        <w:tc>
          <w:tcPr>
            <w:tcW w:w="2683" w:type="dxa"/>
          </w:tcPr>
          <w:p w14:paraId="17587CD9" w14:textId="77777777" w:rsidR="00567498" w:rsidRPr="00980FBE" w:rsidRDefault="00567498" w:rsidP="00567498">
            <w:r>
              <w:t>PWLB</w:t>
            </w:r>
          </w:p>
        </w:tc>
        <w:tc>
          <w:tcPr>
            <w:tcW w:w="2683" w:type="dxa"/>
          </w:tcPr>
          <w:p w14:paraId="38BA5E62" w14:textId="77777777" w:rsidR="00567498" w:rsidRPr="00BB325D" w:rsidRDefault="00567498" w:rsidP="00567498">
            <w:r>
              <w:t>12.900</w:t>
            </w:r>
          </w:p>
        </w:tc>
        <w:tc>
          <w:tcPr>
            <w:tcW w:w="2683" w:type="dxa"/>
          </w:tcPr>
          <w:p w14:paraId="60C3AF5D" w14:textId="77777777" w:rsidR="00567498" w:rsidRPr="00BB325D" w:rsidRDefault="00567498" w:rsidP="00567498">
            <w:r w:rsidRPr="00BB325D">
              <w:t>25 – 30 years</w:t>
            </w:r>
          </w:p>
        </w:tc>
      </w:tr>
      <w:tr w:rsidR="00567498" w14:paraId="4EC6F9A8" w14:textId="77777777" w:rsidTr="007F3C88">
        <w:tc>
          <w:tcPr>
            <w:tcW w:w="2683" w:type="dxa"/>
          </w:tcPr>
          <w:p w14:paraId="74084FB4" w14:textId="77777777" w:rsidR="00567498" w:rsidRPr="00980FBE" w:rsidRDefault="00567498" w:rsidP="00567498">
            <w:r w:rsidRPr="00980FBE">
              <w:t>PWLB</w:t>
            </w:r>
          </w:p>
        </w:tc>
        <w:tc>
          <w:tcPr>
            <w:tcW w:w="2683" w:type="dxa"/>
          </w:tcPr>
          <w:p w14:paraId="7DE6A09A" w14:textId="77777777" w:rsidR="00567498" w:rsidRPr="00BB325D" w:rsidRDefault="00567498" w:rsidP="00567498">
            <w:r>
              <w:t>8.630</w:t>
            </w:r>
          </w:p>
        </w:tc>
        <w:tc>
          <w:tcPr>
            <w:tcW w:w="2683" w:type="dxa"/>
          </w:tcPr>
          <w:p w14:paraId="13AC29A9" w14:textId="77777777" w:rsidR="00567498" w:rsidRPr="00BB325D" w:rsidRDefault="00567498" w:rsidP="00567498">
            <w:r w:rsidRPr="00BB325D">
              <w:t>30 – 40 years</w:t>
            </w:r>
          </w:p>
        </w:tc>
      </w:tr>
      <w:tr w:rsidR="00567498" w14:paraId="109C64A8" w14:textId="77777777" w:rsidTr="007F3C88">
        <w:tc>
          <w:tcPr>
            <w:tcW w:w="2683" w:type="dxa"/>
          </w:tcPr>
          <w:p w14:paraId="426483E3" w14:textId="77777777" w:rsidR="00567498" w:rsidRPr="009F422C" w:rsidRDefault="00567498" w:rsidP="00567498">
            <w:r>
              <w:t>PWLB</w:t>
            </w:r>
          </w:p>
        </w:tc>
        <w:tc>
          <w:tcPr>
            <w:tcW w:w="2683" w:type="dxa"/>
          </w:tcPr>
          <w:p w14:paraId="25247DD9" w14:textId="77777777" w:rsidR="00567498" w:rsidRPr="00BB325D" w:rsidRDefault="00567498" w:rsidP="00567498">
            <w:r>
              <w:t>5.000</w:t>
            </w:r>
          </w:p>
        </w:tc>
        <w:tc>
          <w:tcPr>
            <w:tcW w:w="2683" w:type="dxa"/>
          </w:tcPr>
          <w:p w14:paraId="03FCB445" w14:textId="77777777" w:rsidR="00567498" w:rsidRPr="00BB325D" w:rsidRDefault="00567498" w:rsidP="00567498">
            <w:r w:rsidRPr="00BB325D">
              <w:t>40+ years</w:t>
            </w:r>
          </w:p>
        </w:tc>
      </w:tr>
      <w:tr w:rsidR="00567498" w14:paraId="54756E78" w14:textId="77777777" w:rsidTr="007F3C88">
        <w:tc>
          <w:tcPr>
            <w:tcW w:w="2683" w:type="dxa"/>
          </w:tcPr>
          <w:p w14:paraId="5ACE2D3D" w14:textId="77777777" w:rsidR="00567498" w:rsidRDefault="00567498" w:rsidP="00567498">
            <w:r>
              <w:t>Market Loan</w:t>
            </w:r>
          </w:p>
        </w:tc>
        <w:tc>
          <w:tcPr>
            <w:tcW w:w="2683" w:type="dxa"/>
          </w:tcPr>
          <w:p w14:paraId="32AA5D72" w14:textId="77777777" w:rsidR="00567498" w:rsidRPr="00BB325D" w:rsidRDefault="00567498" w:rsidP="00567498">
            <w:r w:rsidRPr="00BB325D">
              <w:t>2.000</w:t>
            </w:r>
          </w:p>
        </w:tc>
        <w:tc>
          <w:tcPr>
            <w:tcW w:w="2683" w:type="dxa"/>
          </w:tcPr>
          <w:p w14:paraId="4CCFA18D" w14:textId="77777777" w:rsidR="00567498" w:rsidRPr="00BB325D" w:rsidRDefault="00567498" w:rsidP="00567498">
            <w:r w:rsidRPr="00BB325D">
              <w:t>40+ years</w:t>
            </w:r>
          </w:p>
        </w:tc>
      </w:tr>
    </w:tbl>
    <w:p w14:paraId="381BE00A" w14:textId="77777777" w:rsidR="00D650F7" w:rsidRDefault="00C81BD0" w:rsidP="00133EC4">
      <w:r>
        <w:tab/>
      </w:r>
    </w:p>
    <w:p w14:paraId="206EAF6F" w14:textId="77777777" w:rsidR="00C81BD0" w:rsidRDefault="00D650F7" w:rsidP="00D650F7">
      <w:r>
        <w:t>2.</w:t>
      </w:r>
      <w:r w:rsidR="00567498">
        <w:t>3</w:t>
      </w:r>
      <w:r>
        <w:tab/>
      </w:r>
      <w:r w:rsidR="00C81BD0">
        <w:t xml:space="preserve">In line with the Prudential Code, the maturity of borrowing should be determined by reference to the earliest date on which the lender can require repayment. </w:t>
      </w:r>
    </w:p>
    <w:p w14:paraId="514CF9F5" w14:textId="77777777" w:rsidR="007339D1" w:rsidRDefault="0028353F" w:rsidP="00133EC4">
      <w:r>
        <w:t>2.</w:t>
      </w:r>
      <w:r w:rsidR="00567498">
        <w:t>4</w:t>
      </w:r>
      <w:r>
        <w:tab/>
        <w:t xml:space="preserve">The Authority’s current external debt position (together with forward projections) is shown below. The table shows total external debt against the underlying </w:t>
      </w:r>
      <w:r w:rsidR="005B5E63">
        <w:t>Capital</w:t>
      </w:r>
      <w:r>
        <w:t xml:space="preserve"> borrowing need (the </w:t>
      </w:r>
      <w:r w:rsidR="005B5E63">
        <w:t>Capital</w:t>
      </w:r>
      <w:r>
        <w:t xml:space="preserve"> Financing Requirement – CFR), highlighting that the Authority</w:t>
      </w:r>
      <w:r w:rsidR="00D650F7">
        <w:t xml:space="preserve"> may start to </w:t>
      </w:r>
      <w:r>
        <w:t xml:space="preserve"> ‘</w:t>
      </w:r>
      <w:r w:rsidR="00D650F7">
        <w:t>over borrow</w:t>
      </w:r>
      <w:r>
        <w:t>’ compared with the CFR</w:t>
      </w:r>
      <w:r w:rsidR="00D650F7">
        <w:t>, this reflects the additional borrowing required to cover the cash flow management</w:t>
      </w:r>
      <w:r>
        <w:t>.</w:t>
      </w:r>
      <w:r w:rsidR="00A73FF9">
        <w:t xml:space="preserve"> </w:t>
      </w:r>
    </w:p>
    <w:p w14:paraId="111E1488" w14:textId="77777777" w:rsidR="007339D1" w:rsidRDefault="007339D1">
      <w:r>
        <w:br w:type="page"/>
      </w:r>
    </w:p>
    <w:p w14:paraId="4A0667CB" w14:textId="77777777" w:rsidR="0028353F" w:rsidRDefault="0028353F" w:rsidP="00133EC4"/>
    <w:tbl>
      <w:tblPr>
        <w:tblStyle w:val="TableGrid"/>
        <w:tblW w:w="0" w:type="auto"/>
        <w:tblInd w:w="959" w:type="dxa"/>
        <w:tblLook w:val="04A0" w:firstRow="1" w:lastRow="0" w:firstColumn="1" w:lastColumn="0" w:noHBand="0" w:noVBand="1"/>
      </w:tblPr>
      <w:tblGrid>
        <w:gridCol w:w="1843"/>
        <w:gridCol w:w="1528"/>
        <w:gridCol w:w="1630"/>
        <w:gridCol w:w="1528"/>
        <w:gridCol w:w="1528"/>
      </w:tblGrid>
      <w:tr w:rsidR="00251583" w:rsidRPr="00251583" w14:paraId="5A935F8D" w14:textId="77777777" w:rsidTr="00D81EC3">
        <w:trPr>
          <w:tblHeader/>
        </w:trPr>
        <w:tc>
          <w:tcPr>
            <w:tcW w:w="2835" w:type="dxa"/>
          </w:tcPr>
          <w:p w14:paraId="72C8AE09" w14:textId="77777777" w:rsidR="00812200" w:rsidRPr="00251583" w:rsidRDefault="00812200" w:rsidP="00133EC4">
            <w:pPr>
              <w:rPr>
                <w:b/>
              </w:rPr>
            </w:pPr>
            <w:r w:rsidRPr="00251583">
              <w:rPr>
                <w:b/>
              </w:rPr>
              <w:t>External Debt comparison</w:t>
            </w:r>
          </w:p>
        </w:tc>
        <w:tc>
          <w:tcPr>
            <w:tcW w:w="1276" w:type="dxa"/>
          </w:tcPr>
          <w:p w14:paraId="17C98090" w14:textId="77777777" w:rsidR="00812200" w:rsidRPr="00251583" w:rsidRDefault="005B5E63" w:rsidP="00812200">
            <w:pPr>
              <w:jc w:val="center"/>
              <w:rPr>
                <w:b/>
              </w:rPr>
            </w:pPr>
            <w:r w:rsidRPr="00251583">
              <w:rPr>
                <w:b/>
              </w:rPr>
              <w:t>20</w:t>
            </w:r>
            <w:r w:rsidR="00567498">
              <w:rPr>
                <w:b/>
              </w:rPr>
              <w:t>20</w:t>
            </w:r>
            <w:r w:rsidR="00D15439">
              <w:rPr>
                <w:b/>
              </w:rPr>
              <w:t>/</w:t>
            </w:r>
            <w:r w:rsidR="00567498">
              <w:rPr>
                <w:b/>
              </w:rPr>
              <w:t>21</w:t>
            </w:r>
          </w:p>
          <w:p w14:paraId="2855E05E" w14:textId="77777777" w:rsidR="00812200" w:rsidRPr="00251583" w:rsidRDefault="00D650F7" w:rsidP="00812200">
            <w:pPr>
              <w:jc w:val="center"/>
              <w:rPr>
                <w:b/>
              </w:rPr>
            </w:pPr>
            <w:r>
              <w:rPr>
                <w:b/>
              </w:rPr>
              <w:t>Revised</w:t>
            </w:r>
          </w:p>
          <w:p w14:paraId="018D37A4" w14:textId="77777777" w:rsidR="00812200" w:rsidRPr="00251583" w:rsidRDefault="00812200" w:rsidP="008941DC">
            <w:pPr>
              <w:jc w:val="center"/>
              <w:rPr>
                <w:b/>
              </w:rPr>
            </w:pPr>
            <w:r w:rsidRPr="00251583">
              <w:rPr>
                <w:b/>
              </w:rPr>
              <w:t>£</w:t>
            </w:r>
            <w:r w:rsidR="008941DC">
              <w:rPr>
                <w:b/>
              </w:rPr>
              <w:t>M</w:t>
            </w:r>
          </w:p>
        </w:tc>
        <w:tc>
          <w:tcPr>
            <w:tcW w:w="1275" w:type="dxa"/>
          </w:tcPr>
          <w:p w14:paraId="219C389D" w14:textId="77777777" w:rsidR="00812200" w:rsidRPr="00251583" w:rsidRDefault="00D15439" w:rsidP="005B5E63">
            <w:pPr>
              <w:jc w:val="center"/>
              <w:rPr>
                <w:b/>
              </w:rPr>
            </w:pPr>
            <w:r>
              <w:rPr>
                <w:b/>
              </w:rPr>
              <w:t>202</w:t>
            </w:r>
            <w:r w:rsidR="00567498">
              <w:rPr>
                <w:b/>
              </w:rPr>
              <w:t>1</w:t>
            </w:r>
            <w:r w:rsidR="005B5E63" w:rsidRPr="00251583">
              <w:rPr>
                <w:b/>
              </w:rPr>
              <w:t>/</w:t>
            </w:r>
            <w:r w:rsidR="00D650F7">
              <w:rPr>
                <w:b/>
              </w:rPr>
              <w:t>2</w:t>
            </w:r>
            <w:r w:rsidR="00567498">
              <w:rPr>
                <w:b/>
              </w:rPr>
              <w:t>2</w:t>
            </w:r>
          </w:p>
          <w:p w14:paraId="0134B50F" w14:textId="77777777" w:rsidR="00812200" w:rsidRPr="00251583" w:rsidRDefault="00812200" w:rsidP="005B5E63">
            <w:pPr>
              <w:jc w:val="center"/>
              <w:rPr>
                <w:b/>
              </w:rPr>
            </w:pPr>
            <w:r w:rsidRPr="00251583">
              <w:rPr>
                <w:b/>
              </w:rPr>
              <w:t>Estimate</w:t>
            </w:r>
          </w:p>
          <w:p w14:paraId="5E12AD24" w14:textId="77777777" w:rsidR="00812200" w:rsidRPr="00251583" w:rsidRDefault="00812200" w:rsidP="005B5E63">
            <w:pPr>
              <w:jc w:val="center"/>
              <w:rPr>
                <w:b/>
              </w:rPr>
            </w:pPr>
            <w:r w:rsidRPr="00251583">
              <w:rPr>
                <w:b/>
              </w:rPr>
              <w:t>£M</w:t>
            </w:r>
          </w:p>
        </w:tc>
        <w:tc>
          <w:tcPr>
            <w:tcW w:w="1192" w:type="dxa"/>
          </w:tcPr>
          <w:p w14:paraId="0D89387A" w14:textId="77777777" w:rsidR="00812200" w:rsidRPr="00251583" w:rsidRDefault="00812200" w:rsidP="005B5E63">
            <w:pPr>
              <w:jc w:val="center"/>
              <w:rPr>
                <w:b/>
              </w:rPr>
            </w:pPr>
            <w:r w:rsidRPr="00251583">
              <w:rPr>
                <w:b/>
              </w:rPr>
              <w:t>20</w:t>
            </w:r>
            <w:r w:rsidR="00D15439">
              <w:rPr>
                <w:b/>
              </w:rPr>
              <w:t>2</w:t>
            </w:r>
            <w:r w:rsidR="00567498">
              <w:rPr>
                <w:b/>
              </w:rPr>
              <w:t>2</w:t>
            </w:r>
            <w:r w:rsidRPr="00251583">
              <w:rPr>
                <w:b/>
              </w:rPr>
              <w:t>/</w:t>
            </w:r>
            <w:r w:rsidR="00D650F7">
              <w:rPr>
                <w:b/>
              </w:rPr>
              <w:t>2</w:t>
            </w:r>
            <w:r w:rsidR="00567498">
              <w:rPr>
                <w:b/>
              </w:rPr>
              <w:t>3</w:t>
            </w:r>
          </w:p>
          <w:p w14:paraId="6448675A" w14:textId="77777777" w:rsidR="00812200" w:rsidRPr="00251583" w:rsidRDefault="00812200" w:rsidP="005B5E63">
            <w:pPr>
              <w:jc w:val="center"/>
              <w:rPr>
                <w:b/>
              </w:rPr>
            </w:pPr>
            <w:r w:rsidRPr="00251583">
              <w:rPr>
                <w:b/>
              </w:rPr>
              <w:t>Estimate</w:t>
            </w:r>
          </w:p>
          <w:p w14:paraId="48B1C907" w14:textId="77777777" w:rsidR="00812200" w:rsidRPr="00251583" w:rsidRDefault="00812200" w:rsidP="005B5E63">
            <w:pPr>
              <w:jc w:val="center"/>
              <w:rPr>
                <w:b/>
              </w:rPr>
            </w:pPr>
            <w:r w:rsidRPr="00251583">
              <w:rPr>
                <w:b/>
              </w:rPr>
              <w:t>£M</w:t>
            </w:r>
          </w:p>
        </w:tc>
        <w:tc>
          <w:tcPr>
            <w:tcW w:w="1218" w:type="dxa"/>
          </w:tcPr>
          <w:p w14:paraId="6779E982" w14:textId="77777777" w:rsidR="00812200" w:rsidRPr="00251583" w:rsidRDefault="00812200" w:rsidP="00877624">
            <w:pPr>
              <w:ind w:left="0" w:firstLine="0"/>
              <w:jc w:val="center"/>
              <w:rPr>
                <w:b/>
              </w:rPr>
            </w:pPr>
            <w:r w:rsidRPr="00251583">
              <w:rPr>
                <w:b/>
              </w:rPr>
              <w:t>20</w:t>
            </w:r>
            <w:r w:rsidR="005B5E63" w:rsidRPr="00251583">
              <w:rPr>
                <w:b/>
              </w:rPr>
              <w:t>2</w:t>
            </w:r>
            <w:r w:rsidR="00567498">
              <w:rPr>
                <w:b/>
              </w:rPr>
              <w:t>3</w:t>
            </w:r>
            <w:r w:rsidRPr="00251583">
              <w:rPr>
                <w:b/>
              </w:rPr>
              <w:t>/</w:t>
            </w:r>
            <w:r w:rsidR="00D650F7">
              <w:rPr>
                <w:b/>
              </w:rPr>
              <w:t>2</w:t>
            </w:r>
            <w:r w:rsidR="00567498">
              <w:rPr>
                <w:b/>
              </w:rPr>
              <w:t>4</w:t>
            </w:r>
            <w:r w:rsidRPr="00251583">
              <w:rPr>
                <w:b/>
              </w:rPr>
              <w:t xml:space="preserve"> Estimate</w:t>
            </w:r>
          </w:p>
          <w:p w14:paraId="4B000382" w14:textId="77777777" w:rsidR="00812200" w:rsidRPr="00251583" w:rsidRDefault="00812200" w:rsidP="00877624">
            <w:pPr>
              <w:ind w:left="0" w:firstLine="0"/>
              <w:jc w:val="center"/>
              <w:rPr>
                <w:b/>
              </w:rPr>
            </w:pPr>
            <w:r w:rsidRPr="00251583">
              <w:rPr>
                <w:b/>
              </w:rPr>
              <w:t>£M</w:t>
            </w:r>
          </w:p>
        </w:tc>
      </w:tr>
      <w:tr w:rsidR="00251583" w:rsidRPr="00251583" w14:paraId="32520C1D" w14:textId="77777777" w:rsidTr="002E2B94">
        <w:tc>
          <w:tcPr>
            <w:tcW w:w="2835" w:type="dxa"/>
          </w:tcPr>
          <w:p w14:paraId="62C58F71" w14:textId="77777777" w:rsidR="00812200" w:rsidRPr="00251583" w:rsidRDefault="005B5E63" w:rsidP="00251583">
            <w:pPr>
              <w:ind w:left="0" w:firstLine="0"/>
            </w:pPr>
            <w:r w:rsidRPr="00251583">
              <w:t>Capital</w:t>
            </w:r>
            <w:r w:rsidR="00812200" w:rsidRPr="00251583">
              <w:t xml:space="preserve"> financing requirement (CFR) calculation</w:t>
            </w:r>
          </w:p>
        </w:tc>
        <w:tc>
          <w:tcPr>
            <w:tcW w:w="1276" w:type="dxa"/>
            <w:vAlign w:val="bottom"/>
          </w:tcPr>
          <w:p w14:paraId="501CDF7B" w14:textId="77777777" w:rsidR="00812200" w:rsidRPr="00251583" w:rsidRDefault="00812200">
            <w:pPr>
              <w:jc w:val="right"/>
              <w:rPr>
                <w:rFonts w:ascii="Calibri" w:hAnsi="Calibri"/>
              </w:rPr>
            </w:pPr>
          </w:p>
        </w:tc>
        <w:tc>
          <w:tcPr>
            <w:tcW w:w="1275" w:type="dxa"/>
            <w:vAlign w:val="bottom"/>
          </w:tcPr>
          <w:p w14:paraId="7EB64E11" w14:textId="77777777" w:rsidR="00812200" w:rsidRPr="00251583" w:rsidRDefault="00812200">
            <w:pPr>
              <w:jc w:val="right"/>
              <w:rPr>
                <w:rFonts w:ascii="Calibri" w:hAnsi="Calibri"/>
              </w:rPr>
            </w:pPr>
          </w:p>
        </w:tc>
        <w:tc>
          <w:tcPr>
            <w:tcW w:w="1192" w:type="dxa"/>
            <w:vAlign w:val="bottom"/>
          </w:tcPr>
          <w:p w14:paraId="32DDE0F5" w14:textId="77777777" w:rsidR="00812200" w:rsidRPr="00251583" w:rsidRDefault="00812200">
            <w:pPr>
              <w:jc w:val="right"/>
              <w:rPr>
                <w:rFonts w:ascii="Calibri" w:hAnsi="Calibri"/>
              </w:rPr>
            </w:pPr>
          </w:p>
        </w:tc>
        <w:tc>
          <w:tcPr>
            <w:tcW w:w="1218" w:type="dxa"/>
            <w:vAlign w:val="bottom"/>
          </w:tcPr>
          <w:p w14:paraId="050BD75F" w14:textId="77777777" w:rsidR="00812200" w:rsidRPr="00251583" w:rsidRDefault="00812200">
            <w:pPr>
              <w:jc w:val="right"/>
              <w:rPr>
                <w:rFonts w:ascii="Calibri" w:hAnsi="Calibri"/>
              </w:rPr>
            </w:pPr>
          </w:p>
        </w:tc>
      </w:tr>
      <w:tr w:rsidR="00251583" w:rsidRPr="00251583" w14:paraId="466BED45" w14:textId="77777777" w:rsidTr="002E2B94">
        <w:tc>
          <w:tcPr>
            <w:tcW w:w="2835" w:type="dxa"/>
          </w:tcPr>
          <w:p w14:paraId="10A77BA5" w14:textId="77777777" w:rsidR="00812200" w:rsidRPr="00251583" w:rsidRDefault="00812200" w:rsidP="00251583">
            <w:pPr>
              <w:ind w:left="0" w:firstLine="0"/>
            </w:pPr>
            <w:r w:rsidRPr="00251583">
              <w:t>Property Plant and equipment</w:t>
            </w:r>
          </w:p>
        </w:tc>
        <w:tc>
          <w:tcPr>
            <w:tcW w:w="1276" w:type="dxa"/>
            <w:vAlign w:val="bottom"/>
          </w:tcPr>
          <w:p w14:paraId="043F2AE2" w14:textId="77777777" w:rsidR="00812200" w:rsidRPr="00BB325D" w:rsidRDefault="006475E7">
            <w:pPr>
              <w:jc w:val="right"/>
              <w:rPr>
                <w:rFonts w:ascii="Calibri" w:hAnsi="Calibri"/>
              </w:rPr>
            </w:pPr>
            <w:r>
              <w:rPr>
                <w:rFonts w:ascii="Calibri" w:hAnsi="Calibri"/>
              </w:rPr>
              <w:t>315.399</w:t>
            </w:r>
          </w:p>
        </w:tc>
        <w:tc>
          <w:tcPr>
            <w:tcW w:w="1275" w:type="dxa"/>
            <w:vAlign w:val="bottom"/>
          </w:tcPr>
          <w:p w14:paraId="065CCD96" w14:textId="77777777" w:rsidR="00812200" w:rsidRPr="00BB325D" w:rsidRDefault="006475E7" w:rsidP="008941DC">
            <w:pPr>
              <w:jc w:val="right"/>
              <w:rPr>
                <w:rFonts w:ascii="Calibri" w:hAnsi="Calibri"/>
              </w:rPr>
            </w:pPr>
            <w:r>
              <w:rPr>
                <w:rFonts w:ascii="Calibri" w:hAnsi="Calibri"/>
              </w:rPr>
              <w:t>316.605</w:t>
            </w:r>
          </w:p>
        </w:tc>
        <w:tc>
          <w:tcPr>
            <w:tcW w:w="1192" w:type="dxa"/>
            <w:vAlign w:val="bottom"/>
          </w:tcPr>
          <w:p w14:paraId="3147B0C9" w14:textId="77777777" w:rsidR="00812200" w:rsidRPr="00BB325D" w:rsidRDefault="006475E7" w:rsidP="008941DC">
            <w:pPr>
              <w:jc w:val="right"/>
              <w:rPr>
                <w:rFonts w:ascii="Calibri" w:hAnsi="Calibri"/>
              </w:rPr>
            </w:pPr>
            <w:r>
              <w:rPr>
                <w:rFonts w:ascii="Calibri" w:hAnsi="Calibri"/>
              </w:rPr>
              <w:t>316.900</w:t>
            </w:r>
          </w:p>
        </w:tc>
        <w:tc>
          <w:tcPr>
            <w:tcW w:w="1218" w:type="dxa"/>
            <w:vAlign w:val="bottom"/>
          </w:tcPr>
          <w:p w14:paraId="2655D8D3" w14:textId="77777777" w:rsidR="00812200" w:rsidRPr="00BB325D" w:rsidRDefault="006475E7" w:rsidP="002020BB">
            <w:pPr>
              <w:jc w:val="right"/>
              <w:rPr>
                <w:rFonts w:ascii="Calibri" w:hAnsi="Calibri"/>
              </w:rPr>
            </w:pPr>
            <w:r>
              <w:rPr>
                <w:rFonts w:ascii="Calibri" w:hAnsi="Calibri"/>
              </w:rPr>
              <w:t>317.195</w:t>
            </w:r>
          </w:p>
        </w:tc>
      </w:tr>
      <w:tr w:rsidR="00251583" w:rsidRPr="00251583" w14:paraId="6CBD9DE8" w14:textId="77777777" w:rsidTr="00C76FB3">
        <w:tc>
          <w:tcPr>
            <w:tcW w:w="2835" w:type="dxa"/>
          </w:tcPr>
          <w:p w14:paraId="357A4902" w14:textId="77777777" w:rsidR="00812200" w:rsidRPr="00251583" w:rsidRDefault="00812200" w:rsidP="00251583">
            <w:pPr>
              <w:ind w:left="0" w:firstLine="0"/>
            </w:pPr>
            <w:r w:rsidRPr="00251583">
              <w:t>Investment property</w:t>
            </w:r>
          </w:p>
        </w:tc>
        <w:tc>
          <w:tcPr>
            <w:tcW w:w="1276" w:type="dxa"/>
          </w:tcPr>
          <w:p w14:paraId="2F4F9C82" w14:textId="77777777" w:rsidR="00812200" w:rsidRPr="00BB325D" w:rsidRDefault="00812200" w:rsidP="009F7FFB">
            <w:pPr>
              <w:jc w:val="right"/>
            </w:pPr>
            <w:r w:rsidRPr="00BB325D">
              <w:t>0</w:t>
            </w:r>
          </w:p>
        </w:tc>
        <w:tc>
          <w:tcPr>
            <w:tcW w:w="1275" w:type="dxa"/>
          </w:tcPr>
          <w:p w14:paraId="1C33E558" w14:textId="77777777" w:rsidR="00812200" w:rsidRPr="00BB325D" w:rsidRDefault="00812200" w:rsidP="009F7FFB">
            <w:pPr>
              <w:jc w:val="right"/>
            </w:pPr>
            <w:r w:rsidRPr="00BB325D">
              <w:t>0</w:t>
            </w:r>
          </w:p>
        </w:tc>
        <w:tc>
          <w:tcPr>
            <w:tcW w:w="1192" w:type="dxa"/>
          </w:tcPr>
          <w:p w14:paraId="0DF22AB4" w14:textId="77777777" w:rsidR="00812200" w:rsidRPr="00BB325D" w:rsidRDefault="00812200" w:rsidP="009F7FFB">
            <w:pPr>
              <w:jc w:val="right"/>
            </w:pPr>
            <w:r w:rsidRPr="00BB325D">
              <w:t>0</w:t>
            </w:r>
          </w:p>
        </w:tc>
        <w:tc>
          <w:tcPr>
            <w:tcW w:w="1218" w:type="dxa"/>
          </w:tcPr>
          <w:p w14:paraId="1E5CE4AE" w14:textId="77777777" w:rsidR="00812200" w:rsidRPr="00BB325D" w:rsidRDefault="00812200" w:rsidP="009F7FFB">
            <w:pPr>
              <w:jc w:val="right"/>
            </w:pPr>
            <w:r w:rsidRPr="00BB325D">
              <w:t>0</w:t>
            </w:r>
          </w:p>
        </w:tc>
      </w:tr>
      <w:tr w:rsidR="00251583" w:rsidRPr="00251583" w14:paraId="28934172" w14:textId="77777777" w:rsidTr="002E2B94">
        <w:tc>
          <w:tcPr>
            <w:tcW w:w="2835" w:type="dxa"/>
          </w:tcPr>
          <w:p w14:paraId="415FBE0C" w14:textId="77777777" w:rsidR="00812200" w:rsidRPr="00251583" w:rsidRDefault="00812200" w:rsidP="00251583">
            <w:pPr>
              <w:ind w:left="0" w:firstLine="0"/>
            </w:pPr>
            <w:r w:rsidRPr="00251583">
              <w:t>Less – revaluation reserve</w:t>
            </w:r>
          </w:p>
        </w:tc>
        <w:tc>
          <w:tcPr>
            <w:tcW w:w="1276" w:type="dxa"/>
            <w:vAlign w:val="bottom"/>
          </w:tcPr>
          <w:p w14:paraId="110ABA70" w14:textId="77777777" w:rsidR="00812200" w:rsidRPr="00BB325D" w:rsidRDefault="00812200" w:rsidP="008941DC">
            <w:pPr>
              <w:jc w:val="right"/>
              <w:rPr>
                <w:rFonts w:ascii="Calibri" w:hAnsi="Calibri"/>
              </w:rPr>
            </w:pPr>
            <w:r w:rsidRPr="00BB325D">
              <w:rPr>
                <w:rFonts w:ascii="Calibri" w:hAnsi="Calibri"/>
              </w:rPr>
              <w:t>-11</w:t>
            </w:r>
            <w:r w:rsidR="008941DC" w:rsidRPr="00BB325D">
              <w:rPr>
                <w:rFonts w:ascii="Calibri" w:hAnsi="Calibri"/>
              </w:rPr>
              <w:t>.</w:t>
            </w:r>
            <w:r w:rsidRPr="00BB325D">
              <w:rPr>
                <w:rFonts w:ascii="Calibri" w:hAnsi="Calibri"/>
              </w:rPr>
              <w:t>290</w:t>
            </w:r>
          </w:p>
        </w:tc>
        <w:tc>
          <w:tcPr>
            <w:tcW w:w="1275" w:type="dxa"/>
            <w:vAlign w:val="bottom"/>
          </w:tcPr>
          <w:p w14:paraId="639F19A0" w14:textId="77777777" w:rsidR="00812200" w:rsidRPr="00BB325D" w:rsidRDefault="00812200" w:rsidP="008941DC">
            <w:pPr>
              <w:jc w:val="right"/>
              <w:rPr>
                <w:rFonts w:ascii="Calibri" w:hAnsi="Calibri"/>
              </w:rPr>
            </w:pPr>
            <w:r w:rsidRPr="00BB325D">
              <w:rPr>
                <w:rFonts w:ascii="Calibri" w:hAnsi="Calibri"/>
              </w:rPr>
              <w:t>-11</w:t>
            </w:r>
            <w:r w:rsidR="008941DC" w:rsidRPr="00BB325D">
              <w:rPr>
                <w:rFonts w:ascii="Calibri" w:hAnsi="Calibri"/>
              </w:rPr>
              <w:t>.</w:t>
            </w:r>
            <w:r w:rsidRPr="00BB325D">
              <w:rPr>
                <w:rFonts w:ascii="Calibri" w:hAnsi="Calibri"/>
              </w:rPr>
              <w:t>290</w:t>
            </w:r>
          </w:p>
        </w:tc>
        <w:tc>
          <w:tcPr>
            <w:tcW w:w="1192" w:type="dxa"/>
            <w:vAlign w:val="bottom"/>
          </w:tcPr>
          <w:p w14:paraId="69A6FF24" w14:textId="77777777" w:rsidR="00812200" w:rsidRPr="00BB325D" w:rsidRDefault="00812200" w:rsidP="008941DC">
            <w:pPr>
              <w:jc w:val="right"/>
              <w:rPr>
                <w:rFonts w:ascii="Calibri" w:hAnsi="Calibri"/>
              </w:rPr>
            </w:pPr>
            <w:r w:rsidRPr="00BB325D">
              <w:rPr>
                <w:rFonts w:ascii="Calibri" w:hAnsi="Calibri"/>
              </w:rPr>
              <w:t>-11</w:t>
            </w:r>
            <w:r w:rsidR="008941DC" w:rsidRPr="00BB325D">
              <w:rPr>
                <w:rFonts w:ascii="Calibri" w:hAnsi="Calibri"/>
              </w:rPr>
              <w:t>.</w:t>
            </w:r>
            <w:r w:rsidRPr="00BB325D">
              <w:rPr>
                <w:rFonts w:ascii="Calibri" w:hAnsi="Calibri"/>
              </w:rPr>
              <w:t>290</w:t>
            </w:r>
          </w:p>
        </w:tc>
        <w:tc>
          <w:tcPr>
            <w:tcW w:w="1218" w:type="dxa"/>
            <w:vAlign w:val="bottom"/>
          </w:tcPr>
          <w:p w14:paraId="4696F71F" w14:textId="77777777" w:rsidR="00812200" w:rsidRPr="00BB325D" w:rsidRDefault="00812200">
            <w:pPr>
              <w:jc w:val="right"/>
              <w:rPr>
                <w:rFonts w:ascii="Calibri" w:hAnsi="Calibri"/>
              </w:rPr>
            </w:pPr>
            <w:r w:rsidRPr="00BB325D">
              <w:rPr>
                <w:rFonts w:ascii="Calibri" w:hAnsi="Calibri"/>
              </w:rPr>
              <w:t>-</w:t>
            </w:r>
            <w:r w:rsidR="008941DC" w:rsidRPr="00BB325D">
              <w:rPr>
                <w:rFonts w:ascii="Calibri" w:hAnsi="Calibri"/>
              </w:rPr>
              <w:t>11.</w:t>
            </w:r>
            <w:r w:rsidRPr="00BB325D">
              <w:rPr>
                <w:rFonts w:ascii="Calibri" w:hAnsi="Calibri"/>
              </w:rPr>
              <w:t>290</w:t>
            </w:r>
          </w:p>
        </w:tc>
      </w:tr>
      <w:tr w:rsidR="00251583" w:rsidRPr="00251583" w14:paraId="236937B4" w14:textId="77777777" w:rsidTr="002E2B94">
        <w:tc>
          <w:tcPr>
            <w:tcW w:w="2835" w:type="dxa"/>
          </w:tcPr>
          <w:p w14:paraId="34427C72" w14:textId="77777777" w:rsidR="00812200" w:rsidRPr="00251583" w:rsidRDefault="00812200" w:rsidP="00251583">
            <w:pPr>
              <w:ind w:left="0" w:firstLine="0"/>
            </w:pPr>
            <w:r w:rsidRPr="00251583">
              <w:t xml:space="preserve">Plus – </w:t>
            </w:r>
            <w:r w:rsidR="005B5E63" w:rsidRPr="00251583">
              <w:t>Capital</w:t>
            </w:r>
            <w:r w:rsidRPr="00251583">
              <w:t xml:space="preserve"> Adjustment account </w:t>
            </w:r>
          </w:p>
        </w:tc>
        <w:tc>
          <w:tcPr>
            <w:tcW w:w="1276" w:type="dxa"/>
            <w:vAlign w:val="bottom"/>
          </w:tcPr>
          <w:p w14:paraId="75ACE692" w14:textId="77777777" w:rsidR="00812200" w:rsidRPr="00BB325D" w:rsidRDefault="006475E7" w:rsidP="008941DC">
            <w:pPr>
              <w:jc w:val="right"/>
              <w:rPr>
                <w:rFonts w:ascii="Calibri" w:hAnsi="Calibri"/>
              </w:rPr>
            </w:pPr>
            <w:r>
              <w:rPr>
                <w:rFonts w:ascii="Calibri" w:hAnsi="Calibri"/>
              </w:rPr>
              <w:t>23.390</w:t>
            </w:r>
          </w:p>
        </w:tc>
        <w:tc>
          <w:tcPr>
            <w:tcW w:w="1275" w:type="dxa"/>
            <w:vAlign w:val="bottom"/>
          </w:tcPr>
          <w:p w14:paraId="051661FC" w14:textId="77777777" w:rsidR="00812200" w:rsidRPr="00BB325D" w:rsidRDefault="006475E7" w:rsidP="008941DC">
            <w:pPr>
              <w:jc w:val="right"/>
              <w:rPr>
                <w:rFonts w:ascii="Calibri" w:hAnsi="Calibri"/>
              </w:rPr>
            </w:pPr>
            <w:r>
              <w:rPr>
                <w:rFonts w:ascii="Calibri" w:hAnsi="Calibri"/>
              </w:rPr>
              <w:t>20.724</w:t>
            </w:r>
          </w:p>
        </w:tc>
        <w:tc>
          <w:tcPr>
            <w:tcW w:w="1192" w:type="dxa"/>
            <w:vAlign w:val="bottom"/>
          </w:tcPr>
          <w:p w14:paraId="46B9A63C" w14:textId="77777777" w:rsidR="00812200" w:rsidRPr="00BB325D" w:rsidRDefault="006475E7" w:rsidP="008941DC">
            <w:pPr>
              <w:jc w:val="right"/>
              <w:rPr>
                <w:rFonts w:ascii="Calibri" w:hAnsi="Calibri"/>
              </w:rPr>
            </w:pPr>
            <w:r>
              <w:rPr>
                <w:rFonts w:ascii="Calibri" w:hAnsi="Calibri"/>
              </w:rPr>
              <w:t>20.905</w:t>
            </w:r>
          </w:p>
        </w:tc>
        <w:tc>
          <w:tcPr>
            <w:tcW w:w="1218" w:type="dxa"/>
            <w:vAlign w:val="bottom"/>
          </w:tcPr>
          <w:p w14:paraId="5B2B33A5" w14:textId="77777777" w:rsidR="00812200" w:rsidRPr="00BB325D" w:rsidRDefault="006475E7" w:rsidP="008941DC">
            <w:pPr>
              <w:jc w:val="right"/>
              <w:rPr>
                <w:rFonts w:ascii="Calibri" w:hAnsi="Calibri"/>
              </w:rPr>
            </w:pPr>
            <w:r>
              <w:rPr>
                <w:rFonts w:ascii="Calibri" w:hAnsi="Calibri"/>
              </w:rPr>
              <w:t>21.086</w:t>
            </w:r>
          </w:p>
        </w:tc>
      </w:tr>
      <w:tr w:rsidR="00251583" w:rsidRPr="00251583" w14:paraId="660AE165" w14:textId="77777777" w:rsidTr="002E2B94">
        <w:tc>
          <w:tcPr>
            <w:tcW w:w="2835" w:type="dxa"/>
          </w:tcPr>
          <w:p w14:paraId="168ACA69" w14:textId="77777777" w:rsidR="00251583" w:rsidRPr="00251583" w:rsidRDefault="00251583" w:rsidP="00ED2005">
            <w:pPr>
              <w:ind w:left="0" w:firstLine="0"/>
            </w:pPr>
            <w:r w:rsidRPr="00251583">
              <w:rPr>
                <w:b/>
              </w:rPr>
              <w:t>Capital Financing Requirement</w:t>
            </w:r>
            <w:r w:rsidRPr="00251583">
              <w:t xml:space="preserve"> </w:t>
            </w:r>
            <w:r>
              <w:t>(</w:t>
            </w:r>
            <w:r w:rsidR="005837E2">
              <w:t>before</w:t>
            </w:r>
            <w:r>
              <w:t xml:space="preserve"> liabilities)</w:t>
            </w:r>
          </w:p>
        </w:tc>
        <w:tc>
          <w:tcPr>
            <w:tcW w:w="1276" w:type="dxa"/>
            <w:vAlign w:val="bottom"/>
          </w:tcPr>
          <w:p w14:paraId="6583E5B3" w14:textId="77777777" w:rsidR="00251583" w:rsidRPr="00BB325D" w:rsidRDefault="006475E7" w:rsidP="008941DC">
            <w:pPr>
              <w:jc w:val="right"/>
              <w:rPr>
                <w:rFonts w:ascii="Calibri" w:hAnsi="Calibri"/>
                <w:b/>
              </w:rPr>
            </w:pPr>
            <w:r>
              <w:rPr>
                <w:rFonts w:ascii="Calibri" w:hAnsi="Calibri"/>
                <w:b/>
              </w:rPr>
              <w:t>327.499</w:t>
            </w:r>
          </w:p>
        </w:tc>
        <w:tc>
          <w:tcPr>
            <w:tcW w:w="1275" w:type="dxa"/>
            <w:vAlign w:val="bottom"/>
          </w:tcPr>
          <w:p w14:paraId="100FEFC7" w14:textId="77777777" w:rsidR="00251583" w:rsidRPr="00BB325D" w:rsidRDefault="006475E7" w:rsidP="008941DC">
            <w:pPr>
              <w:jc w:val="right"/>
              <w:rPr>
                <w:rFonts w:ascii="Calibri" w:hAnsi="Calibri"/>
                <w:b/>
              </w:rPr>
            </w:pPr>
            <w:r>
              <w:rPr>
                <w:rFonts w:ascii="Calibri" w:hAnsi="Calibri"/>
                <w:b/>
              </w:rPr>
              <w:t>326.039</w:t>
            </w:r>
          </w:p>
        </w:tc>
        <w:tc>
          <w:tcPr>
            <w:tcW w:w="1192" w:type="dxa"/>
            <w:vAlign w:val="bottom"/>
          </w:tcPr>
          <w:p w14:paraId="4E6E6069" w14:textId="77777777" w:rsidR="00251583" w:rsidRPr="00BB325D" w:rsidRDefault="006475E7" w:rsidP="008941DC">
            <w:pPr>
              <w:jc w:val="right"/>
              <w:rPr>
                <w:rFonts w:ascii="Calibri" w:hAnsi="Calibri"/>
                <w:b/>
              </w:rPr>
            </w:pPr>
            <w:r>
              <w:rPr>
                <w:rFonts w:ascii="Calibri" w:hAnsi="Calibri"/>
                <w:b/>
              </w:rPr>
              <w:t>326.515</w:t>
            </w:r>
          </w:p>
        </w:tc>
        <w:tc>
          <w:tcPr>
            <w:tcW w:w="1218" w:type="dxa"/>
            <w:vAlign w:val="bottom"/>
          </w:tcPr>
          <w:p w14:paraId="7B75820B" w14:textId="77777777" w:rsidR="00251583" w:rsidRPr="00BB325D" w:rsidRDefault="006475E7" w:rsidP="008941DC">
            <w:pPr>
              <w:jc w:val="right"/>
              <w:rPr>
                <w:rFonts w:ascii="Calibri" w:hAnsi="Calibri"/>
                <w:b/>
              </w:rPr>
            </w:pPr>
            <w:r>
              <w:rPr>
                <w:rFonts w:ascii="Calibri" w:hAnsi="Calibri"/>
                <w:b/>
              </w:rPr>
              <w:t>326.991</w:t>
            </w:r>
          </w:p>
        </w:tc>
      </w:tr>
      <w:tr w:rsidR="005837E2" w:rsidRPr="00251583" w14:paraId="113DA29B" w14:textId="77777777" w:rsidTr="002E2B94">
        <w:tc>
          <w:tcPr>
            <w:tcW w:w="2835" w:type="dxa"/>
          </w:tcPr>
          <w:p w14:paraId="4A75D434" w14:textId="77777777" w:rsidR="005837E2" w:rsidRPr="00251583" w:rsidRDefault="005837E2" w:rsidP="00ED2005">
            <w:pPr>
              <w:ind w:left="0" w:firstLine="0"/>
              <w:rPr>
                <w:b/>
              </w:rPr>
            </w:pPr>
            <w:r>
              <w:rPr>
                <w:b/>
              </w:rPr>
              <w:t>- Less lease liability</w:t>
            </w:r>
          </w:p>
        </w:tc>
        <w:tc>
          <w:tcPr>
            <w:tcW w:w="1276" w:type="dxa"/>
            <w:vAlign w:val="bottom"/>
          </w:tcPr>
          <w:p w14:paraId="255ABA0A" w14:textId="77777777" w:rsidR="005837E2" w:rsidRPr="00BB325D" w:rsidRDefault="005837E2" w:rsidP="00F63DAE">
            <w:pPr>
              <w:jc w:val="right"/>
              <w:rPr>
                <w:rFonts w:ascii="Calibri" w:hAnsi="Calibri"/>
              </w:rPr>
            </w:pPr>
            <w:r w:rsidRPr="00BB325D">
              <w:rPr>
                <w:rFonts w:ascii="Calibri" w:hAnsi="Calibri"/>
              </w:rPr>
              <w:t>-</w:t>
            </w:r>
            <w:r w:rsidR="00BB325D">
              <w:rPr>
                <w:rFonts w:ascii="Calibri" w:hAnsi="Calibri"/>
              </w:rPr>
              <w:t>271.</w:t>
            </w:r>
            <w:r w:rsidR="00F63DAE">
              <w:rPr>
                <w:rFonts w:ascii="Calibri" w:hAnsi="Calibri"/>
              </w:rPr>
              <w:t>830</w:t>
            </w:r>
          </w:p>
        </w:tc>
        <w:tc>
          <w:tcPr>
            <w:tcW w:w="1275" w:type="dxa"/>
            <w:vAlign w:val="bottom"/>
          </w:tcPr>
          <w:p w14:paraId="249FE1BC" w14:textId="77777777" w:rsidR="005837E2" w:rsidRPr="00BB325D" w:rsidRDefault="005837E2" w:rsidP="00F63DAE">
            <w:pPr>
              <w:jc w:val="right"/>
              <w:rPr>
                <w:rFonts w:ascii="Calibri" w:hAnsi="Calibri"/>
              </w:rPr>
            </w:pPr>
            <w:r w:rsidRPr="00BB325D">
              <w:rPr>
                <w:rFonts w:ascii="Calibri" w:hAnsi="Calibri"/>
              </w:rPr>
              <w:t>-</w:t>
            </w:r>
            <w:r w:rsidR="00F63DAE">
              <w:rPr>
                <w:rFonts w:ascii="Calibri" w:hAnsi="Calibri"/>
              </w:rPr>
              <w:t>2</w:t>
            </w:r>
            <w:r w:rsidR="006475E7">
              <w:rPr>
                <w:rFonts w:ascii="Calibri" w:hAnsi="Calibri"/>
              </w:rPr>
              <w:t>46.8887</w:t>
            </w:r>
          </w:p>
        </w:tc>
        <w:tc>
          <w:tcPr>
            <w:tcW w:w="1192" w:type="dxa"/>
            <w:vAlign w:val="bottom"/>
          </w:tcPr>
          <w:p w14:paraId="24A3A371" w14:textId="77777777" w:rsidR="005837E2" w:rsidRPr="00BB325D" w:rsidRDefault="006475E7" w:rsidP="00F63DAE">
            <w:pPr>
              <w:jc w:val="right"/>
              <w:rPr>
                <w:rFonts w:ascii="Calibri" w:hAnsi="Calibri"/>
              </w:rPr>
            </w:pPr>
            <w:r>
              <w:rPr>
                <w:rFonts w:ascii="Calibri" w:hAnsi="Calibri"/>
              </w:rPr>
              <w:t>-234.481</w:t>
            </w:r>
          </w:p>
        </w:tc>
        <w:tc>
          <w:tcPr>
            <w:tcW w:w="1218" w:type="dxa"/>
            <w:vAlign w:val="bottom"/>
          </w:tcPr>
          <w:p w14:paraId="34C1FE18" w14:textId="77777777" w:rsidR="005837E2" w:rsidRPr="00BB325D" w:rsidRDefault="006475E7" w:rsidP="00430BB4">
            <w:pPr>
              <w:jc w:val="right"/>
              <w:rPr>
                <w:rFonts w:ascii="Calibri" w:hAnsi="Calibri"/>
              </w:rPr>
            </w:pPr>
            <w:r>
              <w:rPr>
                <w:rFonts w:ascii="Calibri" w:hAnsi="Calibri"/>
              </w:rPr>
              <w:t>-233.880</w:t>
            </w:r>
          </w:p>
        </w:tc>
      </w:tr>
      <w:tr w:rsidR="00251583" w:rsidRPr="00251583" w14:paraId="785F10B1" w14:textId="77777777" w:rsidTr="002E2B94">
        <w:tc>
          <w:tcPr>
            <w:tcW w:w="2835" w:type="dxa"/>
          </w:tcPr>
          <w:p w14:paraId="0493DD84" w14:textId="77777777" w:rsidR="00251583" w:rsidRPr="00251583" w:rsidRDefault="00251583" w:rsidP="00251583">
            <w:pPr>
              <w:ind w:left="0" w:firstLine="0"/>
              <w:rPr>
                <w:b/>
              </w:rPr>
            </w:pPr>
            <w:r w:rsidRPr="00251583">
              <w:rPr>
                <w:b/>
              </w:rPr>
              <w:t>Total Underlying Borrowing Requirement (A)</w:t>
            </w:r>
          </w:p>
        </w:tc>
        <w:tc>
          <w:tcPr>
            <w:tcW w:w="1276" w:type="dxa"/>
            <w:vAlign w:val="bottom"/>
          </w:tcPr>
          <w:p w14:paraId="37A5D630" w14:textId="77777777" w:rsidR="00251583" w:rsidRPr="00BB325D" w:rsidRDefault="006475E7" w:rsidP="008941DC">
            <w:pPr>
              <w:jc w:val="right"/>
              <w:rPr>
                <w:rFonts w:ascii="Calibri" w:hAnsi="Calibri"/>
                <w:b/>
              </w:rPr>
            </w:pPr>
            <w:r>
              <w:rPr>
                <w:rFonts w:ascii="Calibri" w:hAnsi="Calibri"/>
                <w:b/>
              </w:rPr>
              <w:t>55.669</w:t>
            </w:r>
          </w:p>
        </w:tc>
        <w:tc>
          <w:tcPr>
            <w:tcW w:w="1275" w:type="dxa"/>
            <w:vAlign w:val="bottom"/>
          </w:tcPr>
          <w:p w14:paraId="7016C2FB" w14:textId="77777777" w:rsidR="00251583" w:rsidRPr="00BB325D" w:rsidRDefault="006475E7" w:rsidP="008941DC">
            <w:pPr>
              <w:jc w:val="right"/>
              <w:rPr>
                <w:rFonts w:ascii="Calibri" w:hAnsi="Calibri"/>
                <w:b/>
              </w:rPr>
            </w:pPr>
            <w:r>
              <w:rPr>
                <w:rFonts w:ascii="Calibri" w:hAnsi="Calibri"/>
                <w:b/>
              </w:rPr>
              <w:t>79.152</w:t>
            </w:r>
          </w:p>
        </w:tc>
        <w:tc>
          <w:tcPr>
            <w:tcW w:w="1192" w:type="dxa"/>
            <w:vAlign w:val="bottom"/>
          </w:tcPr>
          <w:p w14:paraId="34430554" w14:textId="77777777" w:rsidR="00251583" w:rsidRPr="00BB325D" w:rsidRDefault="006475E7" w:rsidP="008941DC">
            <w:pPr>
              <w:jc w:val="right"/>
              <w:rPr>
                <w:rFonts w:ascii="Calibri" w:hAnsi="Calibri"/>
                <w:b/>
              </w:rPr>
            </w:pPr>
            <w:r>
              <w:rPr>
                <w:rFonts w:ascii="Calibri" w:hAnsi="Calibri"/>
                <w:b/>
              </w:rPr>
              <w:t>91.674</w:t>
            </w:r>
          </w:p>
        </w:tc>
        <w:tc>
          <w:tcPr>
            <w:tcW w:w="1218" w:type="dxa"/>
            <w:vAlign w:val="bottom"/>
          </w:tcPr>
          <w:p w14:paraId="0A3041F5" w14:textId="77777777" w:rsidR="00251583" w:rsidRPr="00BB325D" w:rsidRDefault="006475E7" w:rsidP="008941DC">
            <w:pPr>
              <w:jc w:val="right"/>
              <w:rPr>
                <w:rFonts w:ascii="Calibri" w:hAnsi="Calibri"/>
                <w:b/>
              </w:rPr>
            </w:pPr>
            <w:r>
              <w:rPr>
                <w:rFonts w:ascii="Calibri" w:hAnsi="Calibri"/>
                <w:b/>
              </w:rPr>
              <w:t>93.111</w:t>
            </w:r>
          </w:p>
        </w:tc>
      </w:tr>
      <w:tr w:rsidR="00251583" w:rsidRPr="00251583" w14:paraId="254477AA" w14:textId="77777777" w:rsidTr="002E2B94">
        <w:tc>
          <w:tcPr>
            <w:tcW w:w="2835" w:type="dxa"/>
          </w:tcPr>
          <w:p w14:paraId="72105B72" w14:textId="77777777" w:rsidR="00812200" w:rsidRPr="00251583" w:rsidRDefault="00812200" w:rsidP="00251583">
            <w:pPr>
              <w:ind w:left="0" w:firstLine="0"/>
            </w:pPr>
            <w:r w:rsidRPr="00251583">
              <w:t>External Borrowing</w:t>
            </w:r>
          </w:p>
        </w:tc>
        <w:tc>
          <w:tcPr>
            <w:tcW w:w="1276" w:type="dxa"/>
            <w:vAlign w:val="bottom"/>
          </w:tcPr>
          <w:p w14:paraId="78911C12" w14:textId="77777777" w:rsidR="00812200" w:rsidRPr="00BB325D" w:rsidRDefault="00812200" w:rsidP="009F7FFB">
            <w:pPr>
              <w:jc w:val="right"/>
              <w:rPr>
                <w:rFonts w:ascii="Calibri" w:hAnsi="Calibri"/>
                <w:b/>
              </w:rPr>
            </w:pPr>
          </w:p>
        </w:tc>
        <w:tc>
          <w:tcPr>
            <w:tcW w:w="1275" w:type="dxa"/>
            <w:vAlign w:val="bottom"/>
          </w:tcPr>
          <w:p w14:paraId="71EEE1E3" w14:textId="77777777" w:rsidR="00812200" w:rsidRPr="00BB325D" w:rsidRDefault="00812200" w:rsidP="009F7FFB">
            <w:pPr>
              <w:jc w:val="right"/>
              <w:rPr>
                <w:rFonts w:ascii="Calibri" w:hAnsi="Calibri"/>
                <w:b/>
              </w:rPr>
            </w:pPr>
          </w:p>
        </w:tc>
        <w:tc>
          <w:tcPr>
            <w:tcW w:w="1192" w:type="dxa"/>
            <w:vAlign w:val="bottom"/>
          </w:tcPr>
          <w:p w14:paraId="745CAB56" w14:textId="77777777" w:rsidR="00812200" w:rsidRPr="00BB325D" w:rsidRDefault="00812200" w:rsidP="009F7FFB">
            <w:pPr>
              <w:jc w:val="right"/>
              <w:rPr>
                <w:rFonts w:ascii="Calibri" w:hAnsi="Calibri"/>
                <w:b/>
              </w:rPr>
            </w:pPr>
          </w:p>
        </w:tc>
        <w:tc>
          <w:tcPr>
            <w:tcW w:w="1218" w:type="dxa"/>
            <w:vAlign w:val="bottom"/>
          </w:tcPr>
          <w:p w14:paraId="2225F569" w14:textId="77777777" w:rsidR="00812200" w:rsidRPr="00BB325D" w:rsidRDefault="00812200" w:rsidP="009F7FFB">
            <w:pPr>
              <w:jc w:val="right"/>
              <w:rPr>
                <w:rFonts w:ascii="Calibri" w:hAnsi="Calibri"/>
                <w:b/>
              </w:rPr>
            </w:pPr>
          </w:p>
        </w:tc>
      </w:tr>
      <w:tr w:rsidR="00251583" w:rsidRPr="00251583" w14:paraId="533CC64B" w14:textId="77777777" w:rsidTr="002E2B94">
        <w:tc>
          <w:tcPr>
            <w:tcW w:w="2835" w:type="dxa"/>
          </w:tcPr>
          <w:p w14:paraId="4EAF8947" w14:textId="77777777" w:rsidR="00812200" w:rsidRPr="00251583" w:rsidRDefault="00812200" w:rsidP="00251583">
            <w:pPr>
              <w:ind w:left="0" w:firstLine="0"/>
            </w:pPr>
            <w:r w:rsidRPr="00251583">
              <w:t>- Short term</w:t>
            </w:r>
          </w:p>
        </w:tc>
        <w:tc>
          <w:tcPr>
            <w:tcW w:w="1276" w:type="dxa"/>
            <w:vAlign w:val="bottom"/>
          </w:tcPr>
          <w:p w14:paraId="3F323E70" w14:textId="77777777" w:rsidR="00812200" w:rsidRPr="00BB325D" w:rsidRDefault="008941DC">
            <w:pPr>
              <w:jc w:val="right"/>
              <w:rPr>
                <w:rFonts w:ascii="Calibri" w:hAnsi="Calibri"/>
              </w:rPr>
            </w:pPr>
            <w:r w:rsidRPr="00BB325D">
              <w:rPr>
                <w:rFonts w:ascii="Calibri" w:hAnsi="Calibri"/>
              </w:rPr>
              <w:t>0</w:t>
            </w:r>
          </w:p>
        </w:tc>
        <w:tc>
          <w:tcPr>
            <w:tcW w:w="1275" w:type="dxa"/>
            <w:vAlign w:val="bottom"/>
          </w:tcPr>
          <w:p w14:paraId="059219C5" w14:textId="77777777" w:rsidR="00812200" w:rsidRPr="00BB325D" w:rsidRDefault="00812200">
            <w:pPr>
              <w:jc w:val="right"/>
              <w:rPr>
                <w:rFonts w:ascii="Calibri" w:hAnsi="Calibri"/>
              </w:rPr>
            </w:pPr>
            <w:r w:rsidRPr="00BB325D">
              <w:rPr>
                <w:rFonts w:ascii="Calibri" w:hAnsi="Calibri"/>
              </w:rPr>
              <w:t>0</w:t>
            </w:r>
          </w:p>
        </w:tc>
        <w:tc>
          <w:tcPr>
            <w:tcW w:w="1192" w:type="dxa"/>
            <w:vAlign w:val="bottom"/>
          </w:tcPr>
          <w:p w14:paraId="50F34E31" w14:textId="77777777" w:rsidR="00812200" w:rsidRPr="00BB325D" w:rsidRDefault="00812200">
            <w:pPr>
              <w:jc w:val="right"/>
              <w:rPr>
                <w:rFonts w:ascii="Calibri" w:hAnsi="Calibri"/>
              </w:rPr>
            </w:pPr>
            <w:r w:rsidRPr="00BB325D">
              <w:rPr>
                <w:rFonts w:ascii="Calibri" w:hAnsi="Calibri"/>
              </w:rPr>
              <w:t>0</w:t>
            </w:r>
          </w:p>
        </w:tc>
        <w:tc>
          <w:tcPr>
            <w:tcW w:w="1218" w:type="dxa"/>
            <w:vAlign w:val="bottom"/>
          </w:tcPr>
          <w:p w14:paraId="210B8D69" w14:textId="77777777" w:rsidR="00812200" w:rsidRPr="00BB325D" w:rsidRDefault="00812200">
            <w:pPr>
              <w:jc w:val="right"/>
              <w:rPr>
                <w:rFonts w:ascii="Calibri" w:hAnsi="Calibri"/>
              </w:rPr>
            </w:pPr>
            <w:r w:rsidRPr="00BB325D">
              <w:rPr>
                <w:rFonts w:ascii="Calibri" w:hAnsi="Calibri"/>
              </w:rPr>
              <w:t>0</w:t>
            </w:r>
          </w:p>
        </w:tc>
      </w:tr>
      <w:tr w:rsidR="00251583" w:rsidRPr="00251583" w14:paraId="4874ECF0" w14:textId="77777777" w:rsidTr="002E2B94">
        <w:tc>
          <w:tcPr>
            <w:tcW w:w="2835" w:type="dxa"/>
          </w:tcPr>
          <w:p w14:paraId="5D8FFA38" w14:textId="77777777" w:rsidR="00812200" w:rsidRPr="00251583" w:rsidRDefault="00812200" w:rsidP="00251583">
            <w:pPr>
              <w:ind w:left="0" w:firstLine="0"/>
            </w:pPr>
            <w:r w:rsidRPr="00251583">
              <w:t>- Long term</w:t>
            </w:r>
          </w:p>
        </w:tc>
        <w:tc>
          <w:tcPr>
            <w:tcW w:w="1276" w:type="dxa"/>
            <w:vAlign w:val="bottom"/>
          </w:tcPr>
          <w:p w14:paraId="777F216A" w14:textId="77777777" w:rsidR="00812200" w:rsidRPr="00BB325D" w:rsidRDefault="00F63DAE" w:rsidP="008941DC">
            <w:pPr>
              <w:jc w:val="right"/>
              <w:rPr>
                <w:rFonts w:ascii="Calibri" w:hAnsi="Calibri"/>
              </w:rPr>
            </w:pPr>
            <w:r>
              <w:rPr>
                <w:rFonts w:ascii="Calibri" w:hAnsi="Calibri"/>
              </w:rPr>
              <w:t>4</w:t>
            </w:r>
            <w:r w:rsidR="006475E7">
              <w:rPr>
                <w:rFonts w:ascii="Calibri" w:hAnsi="Calibri"/>
              </w:rPr>
              <w:t>2.067</w:t>
            </w:r>
          </w:p>
        </w:tc>
        <w:tc>
          <w:tcPr>
            <w:tcW w:w="1275" w:type="dxa"/>
            <w:vAlign w:val="bottom"/>
          </w:tcPr>
          <w:p w14:paraId="6331CF00" w14:textId="77777777" w:rsidR="00812200" w:rsidRPr="00BB325D" w:rsidRDefault="006475E7" w:rsidP="008941DC">
            <w:pPr>
              <w:jc w:val="right"/>
              <w:rPr>
                <w:rFonts w:ascii="Calibri" w:hAnsi="Calibri"/>
              </w:rPr>
            </w:pPr>
            <w:r>
              <w:rPr>
                <w:rFonts w:ascii="Calibri" w:hAnsi="Calibri"/>
              </w:rPr>
              <w:t>43.273</w:t>
            </w:r>
          </w:p>
        </w:tc>
        <w:tc>
          <w:tcPr>
            <w:tcW w:w="1192" w:type="dxa"/>
            <w:vAlign w:val="bottom"/>
          </w:tcPr>
          <w:p w14:paraId="08DF17A2" w14:textId="77777777" w:rsidR="00812200" w:rsidRPr="00BB325D" w:rsidRDefault="006475E7">
            <w:pPr>
              <w:jc w:val="right"/>
              <w:rPr>
                <w:rFonts w:ascii="Calibri" w:hAnsi="Calibri"/>
              </w:rPr>
            </w:pPr>
            <w:r>
              <w:rPr>
                <w:rFonts w:ascii="Calibri" w:hAnsi="Calibri"/>
              </w:rPr>
              <w:t>43.568</w:t>
            </w:r>
          </w:p>
        </w:tc>
        <w:tc>
          <w:tcPr>
            <w:tcW w:w="1218" w:type="dxa"/>
            <w:vAlign w:val="bottom"/>
          </w:tcPr>
          <w:p w14:paraId="719A5327" w14:textId="77777777" w:rsidR="00812200" w:rsidRPr="00BB325D" w:rsidRDefault="006475E7" w:rsidP="008941DC">
            <w:pPr>
              <w:jc w:val="right"/>
              <w:rPr>
                <w:rFonts w:ascii="Calibri" w:hAnsi="Calibri"/>
              </w:rPr>
            </w:pPr>
            <w:r>
              <w:rPr>
                <w:rFonts w:ascii="Calibri" w:hAnsi="Calibri"/>
              </w:rPr>
              <w:t>43.863</w:t>
            </w:r>
          </w:p>
        </w:tc>
      </w:tr>
      <w:tr w:rsidR="00251583" w:rsidRPr="00251583" w14:paraId="318DC570" w14:textId="77777777" w:rsidTr="002E2B94">
        <w:tc>
          <w:tcPr>
            <w:tcW w:w="2835" w:type="dxa"/>
          </w:tcPr>
          <w:p w14:paraId="48B29113" w14:textId="77777777" w:rsidR="003F1747" w:rsidRPr="00251583" w:rsidRDefault="003F1747" w:rsidP="00251583">
            <w:pPr>
              <w:ind w:left="0" w:firstLine="0"/>
            </w:pPr>
            <w:r w:rsidRPr="00251583">
              <w:t xml:space="preserve"> - Managed by other local authorities (Merseyside Residual Debt)</w:t>
            </w:r>
          </w:p>
        </w:tc>
        <w:tc>
          <w:tcPr>
            <w:tcW w:w="1276" w:type="dxa"/>
            <w:vAlign w:val="bottom"/>
          </w:tcPr>
          <w:p w14:paraId="0574503C" w14:textId="77777777" w:rsidR="003F1747" w:rsidRPr="00BB325D" w:rsidRDefault="003F1747" w:rsidP="00F63DAE">
            <w:pPr>
              <w:jc w:val="right"/>
              <w:rPr>
                <w:rFonts w:ascii="Calibri" w:hAnsi="Calibri"/>
              </w:rPr>
            </w:pPr>
            <w:r w:rsidRPr="00BB325D">
              <w:rPr>
                <w:rFonts w:ascii="Calibri" w:hAnsi="Calibri"/>
              </w:rPr>
              <w:t>1</w:t>
            </w:r>
            <w:r w:rsidR="008941DC" w:rsidRPr="00BB325D">
              <w:rPr>
                <w:rFonts w:ascii="Calibri" w:hAnsi="Calibri"/>
              </w:rPr>
              <w:t>.</w:t>
            </w:r>
            <w:r w:rsidR="00F63DAE">
              <w:rPr>
                <w:rFonts w:ascii="Calibri" w:hAnsi="Calibri"/>
              </w:rPr>
              <w:t>280</w:t>
            </w:r>
          </w:p>
        </w:tc>
        <w:tc>
          <w:tcPr>
            <w:tcW w:w="1275" w:type="dxa"/>
            <w:vAlign w:val="bottom"/>
          </w:tcPr>
          <w:p w14:paraId="5A36C877" w14:textId="77777777" w:rsidR="003F1747" w:rsidRPr="00BB325D" w:rsidRDefault="00A962DC" w:rsidP="008941DC">
            <w:pPr>
              <w:jc w:val="right"/>
              <w:rPr>
                <w:rFonts w:ascii="Calibri" w:hAnsi="Calibri"/>
              </w:rPr>
            </w:pPr>
            <w:r w:rsidRPr="00BB325D">
              <w:rPr>
                <w:rFonts w:ascii="Calibri" w:hAnsi="Calibri"/>
              </w:rPr>
              <w:t>1</w:t>
            </w:r>
            <w:r w:rsidR="008941DC" w:rsidRPr="00BB325D">
              <w:rPr>
                <w:rFonts w:ascii="Calibri" w:hAnsi="Calibri"/>
              </w:rPr>
              <w:t>.</w:t>
            </w:r>
            <w:r w:rsidR="00F63DAE">
              <w:rPr>
                <w:rFonts w:ascii="Calibri" w:hAnsi="Calibri"/>
              </w:rPr>
              <w:t>065</w:t>
            </w:r>
          </w:p>
        </w:tc>
        <w:tc>
          <w:tcPr>
            <w:tcW w:w="1192" w:type="dxa"/>
            <w:vAlign w:val="bottom"/>
          </w:tcPr>
          <w:p w14:paraId="02B55FB1" w14:textId="77777777" w:rsidR="003F1747" w:rsidRPr="00BB325D" w:rsidRDefault="00F63DAE" w:rsidP="008941DC">
            <w:pPr>
              <w:jc w:val="right"/>
              <w:rPr>
                <w:rFonts w:ascii="Calibri" w:hAnsi="Calibri"/>
              </w:rPr>
            </w:pPr>
            <w:r>
              <w:rPr>
                <w:rFonts w:ascii="Calibri" w:hAnsi="Calibri"/>
              </w:rPr>
              <w:t>0.850</w:t>
            </w:r>
          </w:p>
        </w:tc>
        <w:tc>
          <w:tcPr>
            <w:tcW w:w="1218" w:type="dxa"/>
            <w:vAlign w:val="bottom"/>
          </w:tcPr>
          <w:p w14:paraId="0324B058" w14:textId="77777777" w:rsidR="003F1747" w:rsidRPr="00BB325D" w:rsidRDefault="00430BB4">
            <w:pPr>
              <w:jc w:val="right"/>
              <w:rPr>
                <w:rFonts w:ascii="Calibri" w:hAnsi="Calibri"/>
              </w:rPr>
            </w:pPr>
            <w:r>
              <w:rPr>
                <w:rFonts w:ascii="Calibri" w:hAnsi="Calibri"/>
              </w:rPr>
              <w:t>0.635</w:t>
            </w:r>
          </w:p>
        </w:tc>
      </w:tr>
      <w:tr w:rsidR="00251583" w:rsidRPr="00251583" w14:paraId="7568A135" w14:textId="77777777" w:rsidTr="002E2B94">
        <w:tc>
          <w:tcPr>
            <w:tcW w:w="2835" w:type="dxa"/>
          </w:tcPr>
          <w:p w14:paraId="26DC1D45" w14:textId="77777777" w:rsidR="00812200" w:rsidRPr="00251583" w:rsidRDefault="00812200" w:rsidP="00251583">
            <w:pPr>
              <w:ind w:left="0" w:firstLine="0"/>
              <w:rPr>
                <w:b/>
              </w:rPr>
            </w:pPr>
            <w:r w:rsidRPr="00251583">
              <w:rPr>
                <w:b/>
              </w:rPr>
              <w:t>Total external debt (B)</w:t>
            </w:r>
          </w:p>
        </w:tc>
        <w:tc>
          <w:tcPr>
            <w:tcW w:w="1276" w:type="dxa"/>
            <w:vAlign w:val="bottom"/>
          </w:tcPr>
          <w:p w14:paraId="655BAC1E" w14:textId="77777777" w:rsidR="00812200" w:rsidRPr="00BB325D" w:rsidRDefault="00F63DAE" w:rsidP="009C685D">
            <w:pPr>
              <w:jc w:val="right"/>
              <w:rPr>
                <w:rFonts w:ascii="Calibri" w:hAnsi="Calibri"/>
                <w:b/>
              </w:rPr>
            </w:pPr>
            <w:r>
              <w:rPr>
                <w:rFonts w:ascii="Calibri" w:hAnsi="Calibri"/>
                <w:b/>
              </w:rPr>
              <w:t>43</w:t>
            </w:r>
            <w:r w:rsidR="006475E7">
              <w:rPr>
                <w:rFonts w:ascii="Calibri" w:hAnsi="Calibri"/>
                <w:b/>
              </w:rPr>
              <w:t>.347</w:t>
            </w:r>
          </w:p>
        </w:tc>
        <w:tc>
          <w:tcPr>
            <w:tcW w:w="1275" w:type="dxa"/>
            <w:vAlign w:val="bottom"/>
          </w:tcPr>
          <w:p w14:paraId="08E6E2C1" w14:textId="77777777" w:rsidR="00812200" w:rsidRPr="00BB325D" w:rsidRDefault="006475E7" w:rsidP="009C685D">
            <w:pPr>
              <w:jc w:val="right"/>
              <w:rPr>
                <w:rFonts w:ascii="Calibri" w:hAnsi="Calibri"/>
                <w:b/>
              </w:rPr>
            </w:pPr>
            <w:r>
              <w:rPr>
                <w:rFonts w:ascii="Calibri" w:hAnsi="Calibri"/>
                <w:b/>
              </w:rPr>
              <w:t>44.338</w:t>
            </w:r>
          </w:p>
        </w:tc>
        <w:tc>
          <w:tcPr>
            <w:tcW w:w="1192" w:type="dxa"/>
            <w:vAlign w:val="bottom"/>
          </w:tcPr>
          <w:p w14:paraId="1C95B027" w14:textId="77777777" w:rsidR="00812200" w:rsidRPr="00BB325D" w:rsidRDefault="006475E7" w:rsidP="009C685D">
            <w:pPr>
              <w:jc w:val="right"/>
              <w:rPr>
                <w:rFonts w:ascii="Calibri" w:hAnsi="Calibri"/>
                <w:b/>
              </w:rPr>
            </w:pPr>
            <w:r>
              <w:rPr>
                <w:rFonts w:ascii="Calibri" w:hAnsi="Calibri"/>
                <w:b/>
              </w:rPr>
              <w:t>44.418</w:t>
            </w:r>
          </w:p>
        </w:tc>
        <w:tc>
          <w:tcPr>
            <w:tcW w:w="1218" w:type="dxa"/>
            <w:vAlign w:val="bottom"/>
          </w:tcPr>
          <w:p w14:paraId="359377D3" w14:textId="77777777" w:rsidR="00812200" w:rsidRPr="00BB325D" w:rsidRDefault="006475E7" w:rsidP="009C685D">
            <w:pPr>
              <w:jc w:val="right"/>
              <w:rPr>
                <w:rFonts w:ascii="Calibri" w:hAnsi="Calibri"/>
                <w:b/>
              </w:rPr>
            </w:pPr>
            <w:r>
              <w:rPr>
                <w:rFonts w:ascii="Calibri" w:hAnsi="Calibri"/>
                <w:b/>
              </w:rPr>
              <w:t>44.498</w:t>
            </w:r>
          </w:p>
        </w:tc>
      </w:tr>
      <w:tr w:rsidR="00251583" w:rsidRPr="00251583" w14:paraId="1AD3789A" w14:textId="77777777" w:rsidTr="002E2B94">
        <w:tc>
          <w:tcPr>
            <w:tcW w:w="2835" w:type="dxa"/>
          </w:tcPr>
          <w:p w14:paraId="49FD5A00" w14:textId="77777777" w:rsidR="00812200" w:rsidRPr="00251583" w:rsidRDefault="00812200" w:rsidP="00251583">
            <w:pPr>
              <w:ind w:left="0" w:firstLine="0"/>
            </w:pPr>
          </w:p>
        </w:tc>
        <w:tc>
          <w:tcPr>
            <w:tcW w:w="1276" w:type="dxa"/>
            <w:vAlign w:val="bottom"/>
          </w:tcPr>
          <w:p w14:paraId="177293A2" w14:textId="77777777" w:rsidR="00812200" w:rsidRPr="00BB325D" w:rsidRDefault="00812200" w:rsidP="009F7FFB">
            <w:pPr>
              <w:jc w:val="right"/>
              <w:rPr>
                <w:rFonts w:ascii="Calibri" w:hAnsi="Calibri"/>
              </w:rPr>
            </w:pPr>
          </w:p>
        </w:tc>
        <w:tc>
          <w:tcPr>
            <w:tcW w:w="1275" w:type="dxa"/>
            <w:vAlign w:val="bottom"/>
          </w:tcPr>
          <w:p w14:paraId="21967B54" w14:textId="77777777" w:rsidR="00812200" w:rsidRPr="00BB325D" w:rsidRDefault="00812200" w:rsidP="009F7FFB">
            <w:pPr>
              <w:jc w:val="right"/>
              <w:rPr>
                <w:rFonts w:ascii="Calibri" w:hAnsi="Calibri"/>
              </w:rPr>
            </w:pPr>
          </w:p>
        </w:tc>
        <w:tc>
          <w:tcPr>
            <w:tcW w:w="1192" w:type="dxa"/>
            <w:vAlign w:val="bottom"/>
          </w:tcPr>
          <w:p w14:paraId="25061850" w14:textId="77777777" w:rsidR="00812200" w:rsidRPr="00BB325D" w:rsidRDefault="00812200" w:rsidP="009F7FFB">
            <w:pPr>
              <w:jc w:val="right"/>
              <w:rPr>
                <w:rFonts w:ascii="Calibri" w:hAnsi="Calibri"/>
              </w:rPr>
            </w:pPr>
          </w:p>
        </w:tc>
        <w:tc>
          <w:tcPr>
            <w:tcW w:w="1218" w:type="dxa"/>
            <w:vAlign w:val="bottom"/>
          </w:tcPr>
          <w:p w14:paraId="75DF83E2" w14:textId="77777777" w:rsidR="00812200" w:rsidRPr="00BB325D" w:rsidRDefault="00812200" w:rsidP="009F7FFB">
            <w:pPr>
              <w:jc w:val="right"/>
              <w:rPr>
                <w:rFonts w:ascii="Calibri" w:hAnsi="Calibri"/>
              </w:rPr>
            </w:pPr>
          </w:p>
        </w:tc>
      </w:tr>
      <w:tr w:rsidR="00251583" w:rsidRPr="00251583" w14:paraId="26B89EDD" w14:textId="77777777" w:rsidTr="002E2B94">
        <w:tc>
          <w:tcPr>
            <w:tcW w:w="2835" w:type="dxa"/>
          </w:tcPr>
          <w:p w14:paraId="3DC67D65" w14:textId="77777777" w:rsidR="00812200" w:rsidRPr="00251583" w:rsidRDefault="00812200" w:rsidP="00251583">
            <w:pPr>
              <w:ind w:left="0" w:firstLine="0"/>
              <w:rPr>
                <w:b/>
              </w:rPr>
            </w:pPr>
            <w:r w:rsidRPr="00251583">
              <w:rPr>
                <w:b/>
              </w:rPr>
              <w:t>Under / (over) borrowing (A-B)</w:t>
            </w:r>
          </w:p>
        </w:tc>
        <w:tc>
          <w:tcPr>
            <w:tcW w:w="1276" w:type="dxa"/>
            <w:vAlign w:val="bottom"/>
          </w:tcPr>
          <w:p w14:paraId="02C5502E" w14:textId="77777777" w:rsidR="00812200" w:rsidRPr="00BB325D" w:rsidRDefault="006475E7" w:rsidP="00F63DAE">
            <w:pPr>
              <w:jc w:val="right"/>
              <w:rPr>
                <w:rFonts w:ascii="Calibri" w:hAnsi="Calibri"/>
                <w:b/>
              </w:rPr>
            </w:pPr>
            <w:r>
              <w:rPr>
                <w:rFonts w:ascii="Calibri" w:hAnsi="Calibri"/>
                <w:b/>
              </w:rPr>
              <w:t>12.322</w:t>
            </w:r>
          </w:p>
        </w:tc>
        <w:tc>
          <w:tcPr>
            <w:tcW w:w="1275" w:type="dxa"/>
            <w:vAlign w:val="bottom"/>
          </w:tcPr>
          <w:p w14:paraId="66A1A8EF" w14:textId="77777777" w:rsidR="00812200" w:rsidRPr="00BB325D" w:rsidRDefault="006475E7" w:rsidP="009C685D">
            <w:pPr>
              <w:jc w:val="right"/>
              <w:rPr>
                <w:rFonts w:ascii="Calibri" w:hAnsi="Calibri"/>
                <w:b/>
              </w:rPr>
            </w:pPr>
            <w:r>
              <w:rPr>
                <w:rFonts w:ascii="Calibri" w:hAnsi="Calibri"/>
                <w:b/>
              </w:rPr>
              <w:t>34.814</w:t>
            </w:r>
          </w:p>
        </w:tc>
        <w:tc>
          <w:tcPr>
            <w:tcW w:w="1192" w:type="dxa"/>
            <w:vAlign w:val="bottom"/>
          </w:tcPr>
          <w:p w14:paraId="62DAC9D1" w14:textId="77777777" w:rsidR="00812200" w:rsidRPr="00BB325D" w:rsidRDefault="006475E7" w:rsidP="009C685D">
            <w:pPr>
              <w:jc w:val="right"/>
              <w:rPr>
                <w:rFonts w:ascii="Calibri" w:hAnsi="Calibri"/>
                <w:b/>
              </w:rPr>
            </w:pPr>
            <w:r>
              <w:rPr>
                <w:rFonts w:ascii="Calibri" w:hAnsi="Calibri"/>
                <w:b/>
              </w:rPr>
              <w:t>47.256</w:t>
            </w:r>
          </w:p>
        </w:tc>
        <w:tc>
          <w:tcPr>
            <w:tcW w:w="1218" w:type="dxa"/>
            <w:vAlign w:val="bottom"/>
          </w:tcPr>
          <w:p w14:paraId="7E7D4478" w14:textId="77777777" w:rsidR="00812200" w:rsidRPr="00BB325D" w:rsidRDefault="006475E7" w:rsidP="009C685D">
            <w:pPr>
              <w:jc w:val="right"/>
              <w:rPr>
                <w:rFonts w:ascii="Calibri" w:hAnsi="Calibri"/>
                <w:b/>
              </w:rPr>
            </w:pPr>
            <w:r>
              <w:rPr>
                <w:rFonts w:ascii="Calibri" w:hAnsi="Calibri"/>
                <w:b/>
              </w:rPr>
              <w:t>48.613</w:t>
            </w:r>
          </w:p>
        </w:tc>
      </w:tr>
    </w:tbl>
    <w:p w14:paraId="13B35416" w14:textId="77777777" w:rsidR="00C54389" w:rsidRDefault="00C54389" w:rsidP="00133EC4"/>
    <w:p w14:paraId="61AD94A0" w14:textId="77777777" w:rsidR="003029D4" w:rsidRDefault="003029D4" w:rsidP="00133EC4">
      <w:r>
        <w:t>2.</w:t>
      </w:r>
      <w:r w:rsidR="00C54389">
        <w:t>7</w:t>
      </w:r>
      <w:r>
        <w:tab/>
        <w:t>Within the</w:t>
      </w:r>
      <w:r w:rsidR="00D81EC3">
        <w:t xml:space="preserve"> prudential indicators there are </w:t>
      </w:r>
      <w:proofErr w:type="gramStart"/>
      <w:r w:rsidR="00D81EC3">
        <w:t>a number of</w:t>
      </w:r>
      <w:proofErr w:type="gramEnd"/>
      <w:r w:rsidR="00D81EC3">
        <w:t xml:space="preserve"> key indicators to ensure that the Authority operates </w:t>
      </w:r>
      <w:r w:rsidR="005C357D">
        <w:t>within defined limits. One of these is that the Authority needs to ensure that its gross debt does not, except in the short term, exceed the CFR in the preceding year plus the esti</w:t>
      </w:r>
      <w:r w:rsidR="00B66ABA">
        <w:t xml:space="preserve">mates of additional CFR for </w:t>
      </w:r>
      <w:r w:rsidR="00D15439">
        <w:t>202</w:t>
      </w:r>
      <w:r w:rsidR="006475E7">
        <w:t>1</w:t>
      </w:r>
      <w:r w:rsidR="005B5E63">
        <w:t>/</w:t>
      </w:r>
      <w:r w:rsidR="00C54389">
        <w:t>2</w:t>
      </w:r>
      <w:r w:rsidR="006475E7">
        <w:t>2</w:t>
      </w:r>
      <w:r w:rsidR="005C357D">
        <w:t xml:space="preserve"> and the following two financial years. The table above shows that the Authority’s actual gross debt is lower tha</w:t>
      </w:r>
      <w:r w:rsidR="009F62AB">
        <w:t>n</w:t>
      </w:r>
      <w:r w:rsidR="005C357D">
        <w:t xml:space="preserve"> its CFR for the period. </w:t>
      </w:r>
    </w:p>
    <w:p w14:paraId="5B2BA6A6" w14:textId="77777777" w:rsidR="009406DB" w:rsidRDefault="009406DB" w:rsidP="00133EC4">
      <w:r>
        <w:t>2.</w:t>
      </w:r>
      <w:r w:rsidR="000E6D3F">
        <w:t>9</w:t>
      </w:r>
      <w:r>
        <w:tab/>
        <w:t xml:space="preserve">The Authority’s </w:t>
      </w:r>
      <w:r w:rsidR="00C54389">
        <w:t xml:space="preserve">proposed </w:t>
      </w:r>
      <w:r>
        <w:t xml:space="preserve">borrowing position </w:t>
      </w:r>
      <w:r w:rsidR="00E373B0">
        <w:t xml:space="preserve">confirms that there is sufficient scope for the Authority to </w:t>
      </w:r>
      <w:r w:rsidR="00C54389">
        <w:t xml:space="preserve">take out additional PWLB borrowings </w:t>
      </w:r>
      <w:r w:rsidR="00D15439">
        <w:t>to finance capital expenditure</w:t>
      </w:r>
      <w:r w:rsidR="00E373B0">
        <w:t xml:space="preserve">. </w:t>
      </w:r>
    </w:p>
    <w:p w14:paraId="34A5170E" w14:textId="6AE2AA9D" w:rsidR="00B32CC8" w:rsidRDefault="00B32CC8" w:rsidP="00133EC4">
      <w:r>
        <w:lastRenderedPageBreak/>
        <w:t>2.</w:t>
      </w:r>
      <w:r w:rsidR="000E6D3F">
        <w:t>10</w:t>
      </w:r>
      <w:r>
        <w:tab/>
        <w:t>The strategy adopted in previous years has</w:t>
      </w:r>
      <w:r w:rsidR="005709BA">
        <w:t xml:space="preserve"> been effective with relatively low long term interest rates allowing the Authority to meet its longer</w:t>
      </w:r>
      <w:r w:rsidR="00CB264C">
        <w:t>-</w:t>
      </w:r>
      <w:r w:rsidR="005709BA">
        <w:t xml:space="preserve">term borrowing requirements, as demonstrated by comparison with its </w:t>
      </w:r>
      <w:r w:rsidR="005B5E63">
        <w:t>Capital</w:t>
      </w:r>
      <w:r w:rsidR="005709BA">
        <w:t xml:space="preserve"> Financing Requirement, at an affordable cost. The Authority has also been able to meet repayment requirements on the external debt without incurring early-repayment premiums and therefore to protect is budgetary position against diminishing investment income while reducing the Treasury risk associated with investment holdings.</w:t>
      </w:r>
    </w:p>
    <w:p w14:paraId="3C724B61" w14:textId="77777777" w:rsidR="00B66274" w:rsidRDefault="005709BA" w:rsidP="00133EC4">
      <w:r>
        <w:t>2.</w:t>
      </w:r>
      <w:r w:rsidR="000E6D3F">
        <w:t>11</w:t>
      </w:r>
      <w:r>
        <w:tab/>
        <w:t xml:space="preserve">The Authority’s use of </w:t>
      </w:r>
      <w:r w:rsidR="005B5E63">
        <w:t>Capital</w:t>
      </w:r>
      <w:r>
        <w:t xml:space="preserve"> receipts and other reserves to support the </w:t>
      </w:r>
      <w:r w:rsidR="005B5E63">
        <w:t>Capital</w:t>
      </w:r>
      <w:r>
        <w:t xml:space="preserve"> programme has been important to enable the Authority to maintain a flexible approach to the Treasury Management Strategy. </w:t>
      </w:r>
      <w:r w:rsidR="001977A0">
        <w:t>T</w:t>
      </w:r>
      <w:r>
        <w:t>he</w:t>
      </w:r>
      <w:r w:rsidR="001977A0">
        <w:t>re are no longer any</w:t>
      </w:r>
      <w:r>
        <w:t xml:space="preserve"> receipts and balances </w:t>
      </w:r>
      <w:r w:rsidR="00B66274">
        <w:t>available</w:t>
      </w:r>
      <w:r>
        <w:t xml:space="preserve"> </w:t>
      </w:r>
      <w:r w:rsidR="001977A0">
        <w:t>and so</w:t>
      </w:r>
      <w:r w:rsidR="009F7FFB">
        <w:t xml:space="preserve"> any growth in the </w:t>
      </w:r>
      <w:r w:rsidR="005B5E63">
        <w:t>Capital</w:t>
      </w:r>
      <w:r w:rsidR="009F7FFB">
        <w:t xml:space="preserve"> Financing R</w:t>
      </w:r>
      <w:r>
        <w:t>equirement</w:t>
      </w:r>
      <w:r w:rsidR="009F7FFB">
        <w:t xml:space="preserve"> would need to be accompanied by an increase in the external borrowing in the same year. </w:t>
      </w:r>
      <w:r w:rsidR="001977A0">
        <w:t>A</w:t>
      </w:r>
      <w:r w:rsidR="00C54389">
        <w:t>ny capital investment will require additional capital funding, most likely vi</w:t>
      </w:r>
      <w:r w:rsidR="001977A0">
        <w:t>a</w:t>
      </w:r>
      <w:r w:rsidR="00C54389">
        <w:t xml:space="preserve"> the PWLB </w:t>
      </w:r>
      <w:r w:rsidR="00D15439">
        <w:t>although</w:t>
      </w:r>
      <w:r w:rsidR="00C54389">
        <w:t xml:space="preserve"> </w:t>
      </w:r>
      <w:r w:rsidR="00D15439">
        <w:t xml:space="preserve">these </w:t>
      </w:r>
      <w:r w:rsidR="00C54389">
        <w:t xml:space="preserve">loan rates </w:t>
      </w:r>
      <w:r w:rsidR="00D15439">
        <w:t>have increased in the last year</w:t>
      </w:r>
      <w:r w:rsidR="00B66274">
        <w:t>.</w:t>
      </w:r>
    </w:p>
    <w:p w14:paraId="07C2932C" w14:textId="2F52F178" w:rsidR="005709BA" w:rsidRDefault="00B66274" w:rsidP="00133EC4">
      <w:r>
        <w:t>2.</w:t>
      </w:r>
      <w:r w:rsidR="000E6D3F">
        <w:t>12</w:t>
      </w:r>
      <w:r>
        <w:tab/>
      </w:r>
      <w:r w:rsidR="009F7FFB">
        <w:t xml:space="preserve">This need to borrow will be kept under review over the medium term and is in part dependent upon the need for further </w:t>
      </w:r>
      <w:r w:rsidR="005B5E63">
        <w:t>Capital</w:t>
      </w:r>
      <w:r w:rsidR="009F7FFB">
        <w:t xml:space="preserve"> investment.</w:t>
      </w:r>
      <w:r w:rsidR="00340C53">
        <w:t xml:space="preserve"> There </w:t>
      </w:r>
      <w:r w:rsidR="000E6D3F">
        <w:t>is likely</w:t>
      </w:r>
      <w:r w:rsidR="00340C53">
        <w:t xml:space="preserve"> be a detailed review of the need for </w:t>
      </w:r>
      <w:r w:rsidR="005B5E63">
        <w:t>Capital</w:t>
      </w:r>
      <w:r w:rsidR="00340C53">
        <w:t xml:space="preserve"> investment over the next financial year as the Authority looks to respond to the requirements of the City Region’s </w:t>
      </w:r>
      <w:r w:rsidR="00BF69D9">
        <w:t>S</w:t>
      </w:r>
      <w:r w:rsidR="00340C53">
        <w:t>trategic Review of Waste</w:t>
      </w:r>
      <w:r w:rsidR="00F57CC3">
        <w:t xml:space="preserve"> and MRWA’s declaration of a Climate Emergency</w:t>
      </w:r>
      <w:r w:rsidR="003871C5">
        <w:t>.</w:t>
      </w:r>
      <w:r w:rsidR="00340C53">
        <w:t xml:space="preserve"> It may be that following this review there will be a need to develop a medium</w:t>
      </w:r>
      <w:r w:rsidR="00CB264C">
        <w:t>-</w:t>
      </w:r>
      <w:r w:rsidR="00340C53">
        <w:t xml:space="preserve">term asset strategy as part of a wider </w:t>
      </w:r>
      <w:r w:rsidR="005B5E63">
        <w:t>Capital</w:t>
      </w:r>
      <w:r w:rsidR="00340C53">
        <w:t xml:space="preserve"> </w:t>
      </w:r>
      <w:r w:rsidR="00812200">
        <w:t>programme;</w:t>
      </w:r>
      <w:r w:rsidR="00340C53">
        <w:t xml:space="preserve"> at this stage the need to invest in ne</w:t>
      </w:r>
      <w:r w:rsidR="00812200">
        <w:t>w</w:t>
      </w:r>
      <w:r w:rsidR="00340C53">
        <w:t xml:space="preserve"> assets is uncertain.</w:t>
      </w:r>
    </w:p>
    <w:p w14:paraId="4E94A4AC" w14:textId="77777777" w:rsidR="00DD1D7E" w:rsidRPr="00DD1D7E" w:rsidRDefault="00DD1D7E" w:rsidP="0061118E">
      <w:pPr>
        <w:rPr>
          <w:b/>
        </w:rPr>
      </w:pPr>
      <w:r w:rsidRPr="00DD1D7E">
        <w:rPr>
          <w:b/>
        </w:rPr>
        <w:t>Investments</w:t>
      </w:r>
    </w:p>
    <w:p w14:paraId="377E4256" w14:textId="77777777" w:rsidR="001C0EA8" w:rsidRDefault="00DD1D7E" w:rsidP="001C0EA8">
      <w:r>
        <w:t>2.</w:t>
      </w:r>
      <w:r w:rsidR="000E6D3F">
        <w:t>13</w:t>
      </w:r>
      <w:r>
        <w:tab/>
      </w:r>
      <w:r w:rsidR="003A774F">
        <w:t>If the Authority has any temporary (or longer term)</w:t>
      </w:r>
      <w:r>
        <w:t xml:space="preserve"> funds that are not required for immediate settlement of payments are invested on behalf of the Authority by St Helens Council </w:t>
      </w:r>
      <w:r w:rsidR="003A774F">
        <w:t>under the SLA</w:t>
      </w:r>
      <w:r>
        <w:t xml:space="preserve">. The Council are provided with information from the Authority on prospective dates for the receipt of significant amounts of income (mostly the Levy) and also about when significant payments are due to be made from the Authority (mostly the contract payments in respect of waste services). </w:t>
      </w:r>
    </w:p>
    <w:p w14:paraId="01C3ADA5" w14:textId="77777777" w:rsidR="001C0EA8" w:rsidRDefault="001C0EA8" w:rsidP="001C0EA8">
      <w:r>
        <w:t>2.</w:t>
      </w:r>
      <w:r w:rsidR="00802E87">
        <w:t>1</w:t>
      </w:r>
      <w:r w:rsidR="000E6D3F">
        <w:t>4</w:t>
      </w:r>
      <w:r>
        <w:tab/>
      </w:r>
      <w:r w:rsidRPr="001C0EA8">
        <w:rPr>
          <w:rFonts w:cs="Arial"/>
        </w:rPr>
        <w:t>The CIPFA (Chartered Institute of Public Finance and Accountancy) Code of Practice for Treasury Management recommends that members be updated on treasury management activities regularly.  This Section therefore ensures the Council is implementing best practice in accordance with the Code.</w:t>
      </w:r>
      <w:r>
        <w:tab/>
      </w:r>
    </w:p>
    <w:p w14:paraId="4AE94298" w14:textId="77777777" w:rsidR="001C0EA8" w:rsidRDefault="001C0EA8" w:rsidP="001C0EA8">
      <w:r>
        <w:t>2.1</w:t>
      </w:r>
      <w:r w:rsidR="000E6D3F">
        <w:t>5</w:t>
      </w:r>
      <w:r>
        <w:tab/>
        <w:t xml:space="preserve">The Authority’s Annual Investment Strategy (which is incorporated into the annual Treasury Management Strategy Statement) confirms that the Authority’s investment priorities are the security of </w:t>
      </w:r>
      <w:r w:rsidR="005B5E63">
        <w:t>Capital</w:t>
      </w:r>
      <w:r>
        <w:t xml:space="preserve"> and liquidity of funds</w:t>
      </w:r>
      <w:r w:rsidR="003A774F">
        <w:t xml:space="preserve"> and then yield</w:t>
      </w:r>
      <w:r>
        <w:t xml:space="preserve">.  The Authority’s investment dealings in the period therefore have been undertaken in order to achieve the optimum return on its investments commensurate with the proper levels of security and liquidity and having properly assessed all inherent risks. This activity is carried out on behalf of the Authority by St Helens Council’s Treasury Managers under the terms of the </w:t>
      </w:r>
      <w:r w:rsidR="00923D83">
        <w:t>SLA</w:t>
      </w:r>
      <w:r>
        <w:t>.</w:t>
      </w:r>
    </w:p>
    <w:p w14:paraId="71ACAF23" w14:textId="77777777" w:rsidR="00340C53" w:rsidRPr="00340C53" w:rsidRDefault="001C0EA8" w:rsidP="00340C53">
      <w:pPr>
        <w:rPr>
          <w:rFonts w:cs="Arial"/>
        </w:rPr>
      </w:pPr>
      <w:r>
        <w:lastRenderedPageBreak/>
        <w:t>2.1</w:t>
      </w:r>
      <w:r w:rsidR="000E6D3F">
        <w:t>6</w:t>
      </w:r>
      <w:r>
        <w:tab/>
      </w:r>
      <w:r w:rsidRPr="001C0EA8">
        <w:rPr>
          <w:rFonts w:cs="Arial"/>
        </w:rPr>
        <w:t xml:space="preserve">In the current economic climate it is considered appropriate to ensure that all investments are placed with highly credit rated financial institutions in line with the Council’s authorised Counterparty List (i.e. those institutions with whom we </w:t>
      </w:r>
      <w:r w:rsidR="00340C53">
        <w:rPr>
          <w:rFonts w:cs="Arial"/>
        </w:rPr>
        <w:t>invest monies).</w:t>
      </w:r>
    </w:p>
    <w:p w14:paraId="08C7D478" w14:textId="77777777" w:rsidR="001C0EA8" w:rsidRPr="00923D83" w:rsidRDefault="001C0EA8" w:rsidP="00923D83">
      <w:pPr>
        <w:rPr>
          <w:highlight w:val="yellow"/>
        </w:rPr>
      </w:pPr>
      <w:r w:rsidRPr="001C0EA8">
        <w:rPr>
          <w:rFonts w:cs="Arial"/>
        </w:rPr>
        <w:t>2.1</w:t>
      </w:r>
      <w:r w:rsidR="000E6D3F">
        <w:rPr>
          <w:rFonts w:cs="Arial"/>
        </w:rPr>
        <w:t>7</w:t>
      </w:r>
      <w:r>
        <w:rPr>
          <w:rFonts w:cs="Arial"/>
        </w:rPr>
        <w:tab/>
        <w:t>On behalf of the Authority t</w:t>
      </w:r>
      <w:r w:rsidRPr="001C0EA8">
        <w:t xml:space="preserve">he Council actively monitors the creditworthiness of its counterparties utilising information provided by our Treasury Management advisors, </w:t>
      </w:r>
      <w:r w:rsidR="00923D83">
        <w:t>Link</w:t>
      </w:r>
      <w:r w:rsidRPr="001C0EA8">
        <w:t xml:space="preserve"> Asset Services.  </w:t>
      </w:r>
      <w:r>
        <w:t xml:space="preserve"> </w:t>
      </w:r>
    </w:p>
    <w:p w14:paraId="752EB1B8" w14:textId="1C066821" w:rsidR="001C0EA8" w:rsidRDefault="001C0EA8" w:rsidP="00340C53">
      <w:r>
        <w:t>2.1</w:t>
      </w:r>
      <w:r w:rsidR="000E6D3F">
        <w:t>8</w:t>
      </w:r>
      <w:r>
        <w:tab/>
      </w:r>
      <w:r w:rsidR="00A73FF9">
        <w:t>On behalf of the Authority t</w:t>
      </w:r>
      <w:r>
        <w:t xml:space="preserve">he Council </w:t>
      </w:r>
      <w:r w:rsidR="006906A4">
        <w:t>seeks</w:t>
      </w:r>
      <w:r>
        <w:t xml:space="preserve"> to maintain a mix of investments with the Counterparties who meet the Council’s criteria, however the profile of maturities ha</w:t>
      </w:r>
      <w:r w:rsidR="00CB264C">
        <w:t>s</w:t>
      </w:r>
      <w:r>
        <w:t xml:space="preserve"> been influenced by </w:t>
      </w:r>
      <w:proofErr w:type="gramStart"/>
      <w:r>
        <w:t>a number of</w:t>
      </w:r>
      <w:proofErr w:type="gramEnd"/>
      <w:r>
        <w:t xml:space="preserve"> factors:</w:t>
      </w:r>
    </w:p>
    <w:p w14:paraId="1B64CD8B" w14:textId="2A2D2787" w:rsidR="001C0EA8" w:rsidRDefault="00881E80" w:rsidP="00881E80">
      <w:pPr>
        <w:pStyle w:val="BodyTextIndent2"/>
        <w:spacing w:after="200" w:line="276" w:lineRule="auto"/>
        <w:ind w:left="1134" w:hanging="1134"/>
      </w:pPr>
      <w:r>
        <w:tab/>
      </w:r>
      <w:proofErr w:type="spellStart"/>
      <w:r w:rsidR="001C0EA8">
        <w:t>i</w:t>
      </w:r>
      <w:proofErr w:type="spellEnd"/>
      <w:r w:rsidR="001C0EA8">
        <w:t>)</w:t>
      </w:r>
      <w:r w:rsidR="001C0EA8">
        <w:tab/>
        <w:t xml:space="preserve">the availability of advantageous call rates from some </w:t>
      </w:r>
      <w:proofErr w:type="gramStart"/>
      <w:r w:rsidR="001C0EA8">
        <w:t xml:space="preserve">high </w:t>
      </w:r>
      <w:r>
        <w:t>quality</w:t>
      </w:r>
      <w:proofErr w:type="gramEnd"/>
      <w:r>
        <w:t xml:space="preserve"> </w:t>
      </w:r>
      <w:r w:rsidR="008F6054">
        <w:t>Counterparties.</w:t>
      </w:r>
    </w:p>
    <w:p w14:paraId="052DFDFB" w14:textId="67813FC7" w:rsidR="001C0EA8" w:rsidRDefault="00881E80" w:rsidP="00881E80">
      <w:pPr>
        <w:pStyle w:val="BodyTextIndent2"/>
        <w:spacing w:after="200" w:line="276" w:lineRule="auto"/>
        <w:ind w:left="1134" w:hanging="1134"/>
      </w:pPr>
      <w:r>
        <w:tab/>
      </w:r>
      <w:r w:rsidR="001C0EA8">
        <w:t>ii)</w:t>
      </w:r>
      <w:r w:rsidR="001C0EA8">
        <w:tab/>
        <w:t xml:space="preserve">limits on the duration of investments with certain </w:t>
      </w:r>
      <w:r w:rsidR="008F6054">
        <w:t>counterparties.</w:t>
      </w:r>
    </w:p>
    <w:p w14:paraId="5075274D" w14:textId="77777777" w:rsidR="001C0EA8" w:rsidRDefault="00881E80" w:rsidP="00881E80">
      <w:pPr>
        <w:pStyle w:val="BodyTextIndent2"/>
        <w:spacing w:after="200" w:line="276" w:lineRule="auto"/>
        <w:ind w:left="1134" w:hanging="1134"/>
      </w:pPr>
      <w:r>
        <w:tab/>
      </w:r>
      <w:r w:rsidR="001C0EA8">
        <w:t>iii)</w:t>
      </w:r>
      <w:r w:rsidR="001C0EA8">
        <w:tab/>
        <w:t xml:space="preserve">availability of investment opportunities </w:t>
      </w:r>
      <w:proofErr w:type="gramStart"/>
      <w:r w:rsidR="001C0EA8">
        <w:t>in exces</w:t>
      </w:r>
      <w:r>
        <w:t>s of</w:t>
      </w:r>
      <w:proofErr w:type="gramEnd"/>
      <w:r>
        <w:t xml:space="preserve"> one year with a number of </w:t>
      </w:r>
      <w:r w:rsidR="001C0EA8">
        <w:t>Counterparties.</w:t>
      </w:r>
      <w:r w:rsidR="001C0EA8">
        <w:tab/>
      </w:r>
    </w:p>
    <w:p w14:paraId="397199C0" w14:textId="77777777" w:rsidR="001C0EA8" w:rsidRPr="00881E80" w:rsidRDefault="00881E80" w:rsidP="00881E80">
      <w:pPr>
        <w:pStyle w:val="BodyTextIndent"/>
        <w:spacing w:after="200"/>
        <w:ind w:left="1004"/>
        <w:rPr>
          <w:rFonts w:cs="Arial"/>
        </w:rPr>
      </w:pPr>
      <w:r>
        <w:rPr>
          <w:rFonts w:cs="Arial"/>
        </w:rPr>
        <w:t>2.1</w:t>
      </w:r>
      <w:r w:rsidR="000E6D3F">
        <w:rPr>
          <w:rFonts w:cs="Arial"/>
        </w:rPr>
        <w:t>9</w:t>
      </w:r>
      <w:r w:rsidR="001C0EA8" w:rsidRPr="00881E80">
        <w:rPr>
          <w:rFonts w:cs="Arial"/>
        </w:rPr>
        <w:tab/>
        <w:t>Despite the fact that investment rates available in the market remain low, the Council</w:t>
      </w:r>
      <w:r>
        <w:rPr>
          <w:rFonts w:cs="Arial"/>
        </w:rPr>
        <w:t>’s Treasury Management of the Authority’s funds</w:t>
      </w:r>
      <w:r w:rsidR="001C0EA8" w:rsidRPr="00881E80">
        <w:rPr>
          <w:rFonts w:cs="Arial"/>
        </w:rPr>
        <w:t xml:space="preserve"> has continued to outperform the benchmarks as detailed in the table below</w:t>
      </w:r>
      <w:r w:rsidR="00181B89">
        <w:rPr>
          <w:rFonts w:cs="Arial"/>
        </w:rPr>
        <w:t xml:space="preserve"> which provides the most up to date information available</w:t>
      </w:r>
      <w:r w:rsidR="001C0EA8" w:rsidRPr="00881E80">
        <w:rPr>
          <w:rFonts w:cs="Arial"/>
        </w:rPr>
        <w:t>.</w:t>
      </w:r>
    </w:p>
    <w:p w14:paraId="5624405A" w14:textId="77777777" w:rsidR="0061118E" w:rsidRPr="0061118E" w:rsidRDefault="0061118E" w:rsidP="00133EC4">
      <w:pPr>
        <w:rPr>
          <w:b/>
        </w:rPr>
      </w:pPr>
      <w:r w:rsidRPr="0061118E">
        <w:rPr>
          <w:b/>
        </w:rPr>
        <w:t>3.</w:t>
      </w:r>
      <w:r w:rsidRPr="0061118E">
        <w:rPr>
          <w:b/>
        </w:rPr>
        <w:tab/>
        <w:t>Prospects for Interest Rates</w:t>
      </w:r>
      <w:r w:rsidR="00423E3C">
        <w:rPr>
          <w:b/>
        </w:rPr>
        <w:t xml:space="preserve"> (see also Annex 1)</w:t>
      </w:r>
    </w:p>
    <w:p w14:paraId="47C5A239" w14:textId="77777777" w:rsidR="00AA09F8" w:rsidRPr="00430BB4" w:rsidRDefault="0061118E" w:rsidP="00AA09F8">
      <w:pPr>
        <w:rPr>
          <w:rFonts w:ascii="ArialMT" w:hAnsi="ArialMT" w:cs="ArialMT"/>
        </w:rPr>
      </w:pPr>
      <w:r w:rsidRPr="00FF7BF4">
        <w:t>3.1</w:t>
      </w:r>
      <w:r w:rsidRPr="00FF7BF4">
        <w:tab/>
      </w:r>
      <w:r w:rsidRPr="00430BB4">
        <w:t xml:space="preserve">The Authority uses the Treasury Management functions provided by St Helens Council under the SLA. As a part of that function the Council has appointed </w:t>
      </w:r>
      <w:r w:rsidR="005B5E63" w:rsidRPr="00430BB4">
        <w:t>Link</w:t>
      </w:r>
      <w:r w:rsidRPr="00430BB4">
        <w:t xml:space="preserve"> Asset Services as treasury adviser for both the Council and the Authority. A part of their service is to formulate a view on interest rates.</w:t>
      </w:r>
      <w:r w:rsidR="00A3479C" w:rsidRPr="00430BB4">
        <w:t xml:space="preserve"> </w:t>
      </w:r>
      <w:r w:rsidR="00AA09F8" w:rsidRPr="00430BB4">
        <w:t xml:space="preserve">Annex 1 provides an overview of current City forecasts for both short and longer-term interest rates. </w:t>
      </w:r>
      <w:r w:rsidR="00FF7BF4" w:rsidRPr="00430BB4">
        <w:t xml:space="preserve">The Bank of England’s Monetary Policy Committee (MPC) has been cautious in </w:t>
      </w:r>
      <w:r w:rsidR="00F45D18">
        <w:t xml:space="preserve">keeping </w:t>
      </w:r>
      <w:r w:rsidR="00FF7BF4" w:rsidRPr="00430BB4">
        <w:t xml:space="preserve">interest rates </w:t>
      </w:r>
      <w:r w:rsidR="00F45D18">
        <w:t xml:space="preserve">very low </w:t>
      </w:r>
      <w:r w:rsidR="00FF7BF4" w:rsidRPr="00430BB4">
        <w:t xml:space="preserve">over the last 12 months and the Governor of the Bank of England has suggested that any further rate </w:t>
      </w:r>
      <w:r w:rsidR="00F45D18">
        <w:t>change</w:t>
      </w:r>
      <w:r w:rsidR="00FF7BF4" w:rsidRPr="00430BB4">
        <w:t xml:space="preserve"> is likely to continue to be cautious.</w:t>
      </w:r>
      <w:r w:rsidR="00AA09F8" w:rsidRPr="00430BB4">
        <w:t xml:space="preserve"> </w:t>
      </w:r>
    </w:p>
    <w:p w14:paraId="03ED4345" w14:textId="3CD5842B" w:rsidR="00CB6CEB" w:rsidRPr="00430BB4" w:rsidRDefault="00AA09F8" w:rsidP="00D60F9B">
      <w:pPr>
        <w:rPr>
          <w:i/>
        </w:rPr>
      </w:pPr>
      <w:r w:rsidRPr="00430BB4">
        <w:rPr>
          <w:rFonts w:cs="ArialMT"/>
        </w:rPr>
        <w:t>3.2</w:t>
      </w:r>
      <w:r w:rsidRPr="00430BB4">
        <w:rPr>
          <w:rFonts w:cs="ArialMT"/>
        </w:rPr>
        <w:tab/>
      </w:r>
      <w:r w:rsidRPr="00430BB4">
        <w:t>Link</w:t>
      </w:r>
      <w:r w:rsidR="00FF7BF4" w:rsidRPr="00430BB4">
        <w:t xml:space="preserve">’s view is </w:t>
      </w:r>
      <w:r w:rsidRPr="00430BB4">
        <w:t xml:space="preserve">that rates will remain </w:t>
      </w:r>
      <w:r w:rsidR="00FF7BF4" w:rsidRPr="00430BB4">
        <w:t>below 1</w:t>
      </w:r>
      <w:r w:rsidRPr="00430BB4">
        <w:t xml:space="preserve">% until the </w:t>
      </w:r>
      <w:r w:rsidR="00430BB4">
        <w:t>end</w:t>
      </w:r>
      <w:r w:rsidRPr="00430BB4">
        <w:t xml:space="preserve"> of 20</w:t>
      </w:r>
      <w:r w:rsidR="00FF7BF4" w:rsidRPr="00430BB4">
        <w:t>2</w:t>
      </w:r>
      <w:r w:rsidR="00277167">
        <w:t>1</w:t>
      </w:r>
      <w:r w:rsidRPr="00430BB4">
        <w:t xml:space="preserve"> and </w:t>
      </w:r>
      <w:r w:rsidR="00F45D18">
        <w:t>into 2022</w:t>
      </w:r>
      <w:r w:rsidR="00430BB4">
        <w:t>. O</w:t>
      </w:r>
      <w:r w:rsidRPr="00430BB4">
        <w:t xml:space="preserve">ther forecasters are predicting </w:t>
      </w:r>
      <w:r w:rsidR="00430BB4">
        <w:t xml:space="preserve">similar </w:t>
      </w:r>
      <w:r w:rsidRPr="00430BB4">
        <w:t xml:space="preserve">rates </w:t>
      </w:r>
      <w:r w:rsidR="00430BB4">
        <w:t xml:space="preserve">patterns </w:t>
      </w:r>
      <w:r w:rsidRPr="00430BB4">
        <w:t>could over the period.</w:t>
      </w:r>
    </w:p>
    <w:p w14:paraId="403A6A62" w14:textId="77777777" w:rsidR="00AA09F8" w:rsidRPr="00430BB4" w:rsidRDefault="00CB6CEB" w:rsidP="000B51FC">
      <w:pPr>
        <w:spacing w:before="90"/>
        <w:jc w:val="both"/>
        <w:rPr>
          <w:rFonts w:cs="Arial"/>
          <w:noProof/>
        </w:rPr>
      </w:pPr>
      <w:r w:rsidRPr="00430BB4">
        <w:rPr>
          <w:rFonts w:cs="Arial"/>
          <w:noProof/>
        </w:rPr>
        <w:t>3.3</w:t>
      </w:r>
      <w:r w:rsidRPr="00430BB4">
        <w:rPr>
          <w:rFonts w:cs="Arial"/>
          <w:noProof/>
        </w:rPr>
        <w:tab/>
      </w:r>
      <w:r w:rsidR="00AA09F8" w:rsidRPr="00430BB4">
        <w:rPr>
          <w:rFonts w:cs="Arial"/>
          <w:noProof/>
        </w:rPr>
        <w:t>Economic and interest rate forecasting remains d</w:t>
      </w:r>
      <w:r w:rsidR="00430BB4">
        <w:rPr>
          <w:rFonts w:cs="Arial"/>
          <w:noProof/>
        </w:rPr>
        <w:t>ifficult with so many ex</w:t>
      </w:r>
      <w:r w:rsidR="00AA09F8" w:rsidRPr="00430BB4">
        <w:rPr>
          <w:rFonts w:cs="Arial"/>
          <w:noProof/>
        </w:rPr>
        <w:t>ternal influences weighing on the UK</w:t>
      </w:r>
      <w:r w:rsidR="00F45D18">
        <w:rPr>
          <w:rFonts w:cs="Arial"/>
          <w:noProof/>
        </w:rPr>
        <w:t>, including especially at this time the impacts of the Covid pandemic and the associated economic downturn. But this is also the time when the full effects of the country’s exit from the EU will begin to be see</w:t>
      </w:r>
      <w:r w:rsidR="000B51FC">
        <w:rPr>
          <w:rFonts w:cs="Arial"/>
          <w:noProof/>
        </w:rPr>
        <w:t xml:space="preserve">n, whether positive or negative. </w:t>
      </w:r>
      <w:r w:rsidR="00AA09F8" w:rsidRPr="00430BB4">
        <w:rPr>
          <w:rFonts w:cs="Arial"/>
          <w:noProof/>
        </w:rPr>
        <w:t>The forecasts above (and MPC decisions) will be liable to further amendment depending on how economic data and developments in financial markets transpire over the next year</w:t>
      </w:r>
      <w:r w:rsidR="000B51FC">
        <w:rPr>
          <w:rFonts w:cs="Arial"/>
          <w:noProof/>
        </w:rPr>
        <w:t>.</w:t>
      </w:r>
      <w:r w:rsidR="00200004" w:rsidRPr="00430BB4">
        <w:rPr>
          <w:rFonts w:cs="Arial"/>
          <w:noProof/>
        </w:rPr>
        <w:t xml:space="preserve"> </w:t>
      </w:r>
    </w:p>
    <w:p w14:paraId="1C1013E9" w14:textId="77777777" w:rsidR="00200004" w:rsidRPr="00A10C9A" w:rsidRDefault="00D60F9B" w:rsidP="00CB6CEB">
      <w:pPr>
        <w:spacing w:before="90"/>
        <w:jc w:val="both"/>
        <w:rPr>
          <w:rFonts w:cs="Arial"/>
          <w:noProof/>
          <w:color w:val="FF0000"/>
        </w:rPr>
      </w:pPr>
      <w:r w:rsidRPr="00430BB4">
        <w:rPr>
          <w:rFonts w:cs="Arial"/>
          <w:noProof/>
        </w:rPr>
        <w:t>3.5</w:t>
      </w:r>
      <w:r w:rsidRPr="00430BB4">
        <w:rPr>
          <w:rFonts w:cs="Arial"/>
          <w:noProof/>
        </w:rPr>
        <w:tab/>
      </w:r>
      <w:r w:rsidR="00200004" w:rsidRPr="00430BB4">
        <w:rPr>
          <w:rFonts w:cs="Arial"/>
          <w:noProof/>
        </w:rPr>
        <w:t xml:space="preserve">Other views on prospective interest rates are available. However, most are showing an increasing likelihood that </w:t>
      </w:r>
      <w:r w:rsidR="0087120B" w:rsidRPr="00430BB4">
        <w:rPr>
          <w:rFonts w:cs="Arial"/>
          <w:noProof/>
        </w:rPr>
        <w:t xml:space="preserve">the prospects for </w:t>
      </w:r>
      <w:r w:rsidR="00200004" w:rsidRPr="00430BB4">
        <w:rPr>
          <w:rFonts w:cs="Arial"/>
          <w:noProof/>
        </w:rPr>
        <w:t>interest rate rises</w:t>
      </w:r>
      <w:r w:rsidR="0087120B" w:rsidRPr="00430BB4">
        <w:rPr>
          <w:rFonts w:cs="Arial"/>
          <w:noProof/>
        </w:rPr>
        <w:t xml:space="preserve">, albeit relatively modest, </w:t>
      </w:r>
      <w:r w:rsidR="00984B0C" w:rsidRPr="00430BB4">
        <w:rPr>
          <w:rFonts w:cs="Arial"/>
          <w:noProof/>
        </w:rPr>
        <w:t>continue to be</w:t>
      </w:r>
      <w:r w:rsidR="0087120B" w:rsidRPr="00430BB4">
        <w:rPr>
          <w:rFonts w:cs="Arial"/>
          <w:noProof/>
        </w:rPr>
        <w:t xml:space="preserve"> further into the medium to longer</w:t>
      </w:r>
      <w:r w:rsidR="00200004" w:rsidRPr="00430BB4">
        <w:rPr>
          <w:rFonts w:cs="Arial"/>
          <w:noProof/>
        </w:rPr>
        <w:t xml:space="preserve"> term. </w:t>
      </w:r>
      <w:r w:rsidR="0077434A">
        <w:rPr>
          <w:rFonts w:cs="Arial"/>
          <w:noProof/>
        </w:rPr>
        <w:t xml:space="preserve">There is no view that rates will increase </w:t>
      </w:r>
      <w:r w:rsidR="0077434A">
        <w:rPr>
          <w:rFonts w:cs="Arial"/>
          <w:noProof/>
        </w:rPr>
        <w:lastRenderedPageBreak/>
        <w:t>significantly in either the medium or the longer term, suggesting concerns about growth remain</w:t>
      </w:r>
      <w:r w:rsidR="00200004" w:rsidRPr="00A10C9A">
        <w:rPr>
          <w:rFonts w:cs="Arial"/>
          <w:noProof/>
          <w:color w:val="FF0000"/>
        </w:rPr>
        <w:t>.</w:t>
      </w:r>
    </w:p>
    <w:p w14:paraId="2FD8911C" w14:textId="77777777" w:rsidR="00FF7BF4" w:rsidRDefault="00FF7BF4" w:rsidP="00CB6CEB">
      <w:pPr>
        <w:spacing w:before="90"/>
        <w:jc w:val="both"/>
        <w:rPr>
          <w:rFonts w:cs="Arial"/>
          <w:noProof/>
          <w:color w:val="0D0D0D"/>
        </w:rPr>
      </w:pPr>
    </w:p>
    <w:p w14:paraId="2243B33E" w14:textId="77777777" w:rsidR="000C5648" w:rsidRPr="007E46A0" w:rsidRDefault="000C5648" w:rsidP="00133EC4">
      <w:pPr>
        <w:rPr>
          <w:b/>
        </w:rPr>
      </w:pPr>
      <w:r w:rsidRPr="007E46A0">
        <w:rPr>
          <w:b/>
        </w:rPr>
        <w:t>4.</w:t>
      </w:r>
      <w:r w:rsidRPr="007E46A0">
        <w:rPr>
          <w:b/>
        </w:rPr>
        <w:tab/>
        <w:t>Borrowing requirement</w:t>
      </w:r>
      <w:r w:rsidR="00931313" w:rsidRPr="007E46A0">
        <w:rPr>
          <w:b/>
        </w:rPr>
        <w:t xml:space="preserve"> and strategy</w:t>
      </w:r>
    </w:p>
    <w:p w14:paraId="1A4023B9" w14:textId="77777777" w:rsidR="00931313" w:rsidRDefault="00931313" w:rsidP="00133EC4">
      <w:r>
        <w:t>4.1</w:t>
      </w:r>
      <w:r>
        <w:tab/>
        <w:t xml:space="preserve">The Authority’s in year borrowing requirement for the next and subsequent two financial years are based on the requirements arising from the proposed </w:t>
      </w:r>
      <w:r w:rsidR="005B5E63">
        <w:t>Capital</w:t>
      </w:r>
      <w:r>
        <w:t xml:space="preserve"> Programme included in the budget report and calculated as:</w:t>
      </w:r>
    </w:p>
    <w:tbl>
      <w:tblPr>
        <w:tblStyle w:val="TableGrid"/>
        <w:tblW w:w="0" w:type="auto"/>
        <w:tblInd w:w="1101" w:type="dxa"/>
        <w:tblLook w:val="04A0" w:firstRow="1" w:lastRow="0" w:firstColumn="1" w:lastColumn="0" w:noHBand="0" w:noVBand="1"/>
      </w:tblPr>
      <w:tblGrid>
        <w:gridCol w:w="2976"/>
        <w:gridCol w:w="1560"/>
        <w:gridCol w:w="1560"/>
        <w:gridCol w:w="1560"/>
      </w:tblGrid>
      <w:tr w:rsidR="00802E87" w:rsidRPr="00CF4AEA" w14:paraId="364DF2AF" w14:textId="77777777" w:rsidTr="00FF4942">
        <w:tc>
          <w:tcPr>
            <w:tcW w:w="2976" w:type="dxa"/>
          </w:tcPr>
          <w:p w14:paraId="29A72DA6" w14:textId="77777777" w:rsidR="00802E87" w:rsidRPr="00CF4AEA" w:rsidRDefault="00802E87" w:rsidP="00133EC4"/>
        </w:tc>
        <w:tc>
          <w:tcPr>
            <w:tcW w:w="1560" w:type="dxa"/>
          </w:tcPr>
          <w:p w14:paraId="0D8F110D" w14:textId="77777777" w:rsidR="00802E87" w:rsidRPr="0077434A" w:rsidRDefault="00A10C9A" w:rsidP="00FF4942">
            <w:pPr>
              <w:jc w:val="center"/>
              <w:rPr>
                <w:b/>
              </w:rPr>
            </w:pPr>
            <w:r w:rsidRPr="0077434A">
              <w:rPr>
                <w:b/>
              </w:rPr>
              <w:t>202</w:t>
            </w:r>
            <w:r w:rsidR="000B51FC">
              <w:rPr>
                <w:b/>
              </w:rPr>
              <w:t>1</w:t>
            </w:r>
            <w:r w:rsidR="000E6D3F" w:rsidRPr="0077434A">
              <w:rPr>
                <w:b/>
              </w:rPr>
              <w:t>/2</w:t>
            </w:r>
            <w:r w:rsidR="000B51FC">
              <w:rPr>
                <w:b/>
              </w:rPr>
              <w:t>2</w:t>
            </w:r>
          </w:p>
          <w:p w14:paraId="448DC7BC" w14:textId="77777777" w:rsidR="00802E87" w:rsidRPr="0077434A" w:rsidRDefault="00802E87" w:rsidP="00FF4942">
            <w:pPr>
              <w:jc w:val="center"/>
              <w:rPr>
                <w:b/>
              </w:rPr>
            </w:pPr>
            <w:r w:rsidRPr="0077434A">
              <w:rPr>
                <w:b/>
              </w:rPr>
              <w:t>£M</w:t>
            </w:r>
          </w:p>
        </w:tc>
        <w:tc>
          <w:tcPr>
            <w:tcW w:w="1560" w:type="dxa"/>
          </w:tcPr>
          <w:p w14:paraId="0E3450FD" w14:textId="77777777" w:rsidR="000E6D3F" w:rsidRPr="0077434A" w:rsidRDefault="00802E87" w:rsidP="000E6D3F">
            <w:pPr>
              <w:jc w:val="center"/>
              <w:rPr>
                <w:b/>
              </w:rPr>
            </w:pPr>
            <w:r w:rsidRPr="0077434A">
              <w:rPr>
                <w:b/>
              </w:rPr>
              <w:t>20</w:t>
            </w:r>
            <w:r w:rsidR="00A10C9A" w:rsidRPr="0077434A">
              <w:rPr>
                <w:b/>
              </w:rPr>
              <w:t>2</w:t>
            </w:r>
            <w:r w:rsidR="000B51FC">
              <w:rPr>
                <w:b/>
              </w:rPr>
              <w:t>2</w:t>
            </w:r>
            <w:r w:rsidRPr="0077434A">
              <w:rPr>
                <w:b/>
              </w:rPr>
              <w:t>/</w:t>
            </w:r>
            <w:r w:rsidR="000E6D3F" w:rsidRPr="0077434A">
              <w:rPr>
                <w:b/>
              </w:rPr>
              <w:t>2</w:t>
            </w:r>
            <w:r w:rsidR="000B51FC">
              <w:rPr>
                <w:b/>
              </w:rPr>
              <w:t>3</w:t>
            </w:r>
          </w:p>
          <w:p w14:paraId="0813BDA6" w14:textId="77777777" w:rsidR="00802E87" w:rsidRPr="0077434A" w:rsidRDefault="00802E87" w:rsidP="000E6D3F">
            <w:pPr>
              <w:jc w:val="center"/>
              <w:rPr>
                <w:b/>
              </w:rPr>
            </w:pPr>
            <w:r w:rsidRPr="0077434A">
              <w:rPr>
                <w:b/>
              </w:rPr>
              <w:t>£M</w:t>
            </w:r>
          </w:p>
        </w:tc>
        <w:tc>
          <w:tcPr>
            <w:tcW w:w="1560" w:type="dxa"/>
          </w:tcPr>
          <w:p w14:paraId="785F4492" w14:textId="77777777" w:rsidR="00802E87" w:rsidRPr="0077434A" w:rsidRDefault="00A10C9A" w:rsidP="007E46A0">
            <w:pPr>
              <w:jc w:val="center"/>
              <w:rPr>
                <w:b/>
              </w:rPr>
            </w:pPr>
            <w:r w:rsidRPr="0077434A">
              <w:rPr>
                <w:b/>
              </w:rPr>
              <w:t>202</w:t>
            </w:r>
            <w:r w:rsidR="000B51FC">
              <w:rPr>
                <w:b/>
              </w:rPr>
              <w:t>3</w:t>
            </w:r>
            <w:r w:rsidR="000E6D3F" w:rsidRPr="0077434A">
              <w:rPr>
                <w:b/>
              </w:rPr>
              <w:t>/2</w:t>
            </w:r>
            <w:r w:rsidR="000B51FC">
              <w:rPr>
                <w:b/>
              </w:rPr>
              <w:t>4</w:t>
            </w:r>
          </w:p>
          <w:p w14:paraId="79D688E0" w14:textId="77777777" w:rsidR="00802E87" w:rsidRPr="0077434A" w:rsidRDefault="00802E87" w:rsidP="007E46A0">
            <w:pPr>
              <w:jc w:val="center"/>
              <w:rPr>
                <w:b/>
              </w:rPr>
            </w:pPr>
            <w:r w:rsidRPr="0077434A">
              <w:rPr>
                <w:b/>
              </w:rPr>
              <w:t>£M</w:t>
            </w:r>
          </w:p>
        </w:tc>
      </w:tr>
      <w:tr w:rsidR="00802E87" w:rsidRPr="00CF4AEA" w14:paraId="1F4D9601" w14:textId="77777777" w:rsidTr="00FF4942">
        <w:tc>
          <w:tcPr>
            <w:tcW w:w="2976" w:type="dxa"/>
          </w:tcPr>
          <w:p w14:paraId="67640069" w14:textId="77777777" w:rsidR="00802E87" w:rsidRPr="00CF4AEA" w:rsidRDefault="00802E87" w:rsidP="00133EC4">
            <w:r w:rsidRPr="00CF4AEA">
              <w:t>Prudential borrowing</w:t>
            </w:r>
          </w:p>
        </w:tc>
        <w:tc>
          <w:tcPr>
            <w:tcW w:w="1560" w:type="dxa"/>
          </w:tcPr>
          <w:p w14:paraId="02709803" w14:textId="77777777" w:rsidR="00802E87" w:rsidRPr="0077434A" w:rsidRDefault="000B51FC" w:rsidP="0077434A">
            <w:pPr>
              <w:jc w:val="center"/>
            </w:pPr>
            <w:r>
              <w:t>1.206</w:t>
            </w:r>
          </w:p>
        </w:tc>
        <w:tc>
          <w:tcPr>
            <w:tcW w:w="1560" w:type="dxa"/>
          </w:tcPr>
          <w:p w14:paraId="348452BA" w14:textId="77777777" w:rsidR="00802E87" w:rsidRPr="0077434A" w:rsidRDefault="000B51FC" w:rsidP="0077434A">
            <w:pPr>
              <w:jc w:val="center"/>
            </w:pPr>
            <w:r>
              <w:t>0.295</w:t>
            </w:r>
          </w:p>
        </w:tc>
        <w:tc>
          <w:tcPr>
            <w:tcW w:w="1560" w:type="dxa"/>
          </w:tcPr>
          <w:p w14:paraId="536686C8" w14:textId="77777777" w:rsidR="00802E87" w:rsidRPr="0077434A" w:rsidRDefault="00153AC7" w:rsidP="0077434A">
            <w:pPr>
              <w:jc w:val="center"/>
            </w:pPr>
            <w:r w:rsidRPr="0077434A">
              <w:t>0.</w:t>
            </w:r>
            <w:r w:rsidR="0077434A" w:rsidRPr="0077434A">
              <w:t>295</w:t>
            </w:r>
          </w:p>
        </w:tc>
      </w:tr>
      <w:tr w:rsidR="00802E87" w:rsidRPr="00CF4AEA" w14:paraId="027030BB" w14:textId="77777777" w:rsidTr="00FF4942">
        <w:tc>
          <w:tcPr>
            <w:tcW w:w="2976" w:type="dxa"/>
          </w:tcPr>
          <w:p w14:paraId="7E8054B0" w14:textId="77777777" w:rsidR="00802E87" w:rsidRPr="00CF4AEA" w:rsidRDefault="00802E87" w:rsidP="00133EC4">
            <w:r w:rsidRPr="00CF4AEA">
              <w:t>Revenue provision</w:t>
            </w:r>
          </w:p>
        </w:tc>
        <w:tc>
          <w:tcPr>
            <w:tcW w:w="1560" w:type="dxa"/>
          </w:tcPr>
          <w:p w14:paraId="1C3DEA36" w14:textId="77777777" w:rsidR="00802E87" w:rsidRPr="0077434A" w:rsidRDefault="000E6D3F" w:rsidP="0077434A">
            <w:pPr>
              <w:jc w:val="center"/>
            </w:pPr>
            <w:r w:rsidRPr="0077434A">
              <w:t>(</w:t>
            </w:r>
            <w:r w:rsidR="000B51FC">
              <w:t>0.</w:t>
            </w:r>
            <w:r w:rsidR="009C0E87">
              <w:t>183</w:t>
            </w:r>
            <w:r w:rsidR="00802E87" w:rsidRPr="0077434A">
              <w:t>)</w:t>
            </w:r>
          </w:p>
        </w:tc>
        <w:tc>
          <w:tcPr>
            <w:tcW w:w="1560" w:type="dxa"/>
          </w:tcPr>
          <w:p w14:paraId="0E4EE047" w14:textId="77777777" w:rsidR="00802E87" w:rsidRPr="0077434A" w:rsidRDefault="00802E87" w:rsidP="0077434A">
            <w:pPr>
              <w:jc w:val="center"/>
            </w:pPr>
            <w:r w:rsidRPr="0077434A">
              <w:t>(</w:t>
            </w:r>
            <w:r w:rsidR="000B51FC">
              <w:t>0.</w:t>
            </w:r>
            <w:r w:rsidR="009C0E87">
              <w:t>176</w:t>
            </w:r>
            <w:r w:rsidRPr="0077434A">
              <w:t>)</w:t>
            </w:r>
          </w:p>
        </w:tc>
        <w:tc>
          <w:tcPr>
            <w:tcW w:w="1560" w:type="dxa"/>
          </w:tcPr>
          <w:p w14:paraId="02FEC24A" w14:textId="77777777" w:rsidR="00802E87" w:rsidRPr="0077434A" w:rsidRDefault="00153AC7" w:rsidP="0077434A">
            <w:pPr>
              <w:jc w:val="center"/>
            </w:pPr>
            <w:r w:rsidRPr="0077434A">
              <w:t>(</w:t>
            </w:r>
            <w:r w:rsidR="000B51FC">
              <w:t>0.</w:t>
            </w:r>
            <w:r w:rsidR="009C0E87">
              <w:t>169</w:t>
            </w:r>
            <w:r w:rsidRPr="0077434A">
              <w:t>)</w:t>
            </w:r>
          </w:p>
        </w:tc>
      </w:tr>
      <w:tr w:rsidR="00802E87" w:rsidRPr="00CF4AEA" w14:paraId="43008A12" w14:textId="77777777" w:rsidTr="00FF4942">
        <w:tc>
          <w:tcPr>
            <w:tcW w:w="2976" w:type="dxa"/>
          </w:tcPr>
          <w:p w14:paraId="250A30FB" w14:textId="77777777" w:rsidR="00802E87" w:rsidRPr="00CF4AEA" w:rsidRDefault="00802E87" w:rsidP="00133EC4">
            <w:r w:rsidRPr="00CF4AEA">
              <w:t xml:space="preserve">In year </w:t>
            </w:r>
            <w:r>
              <w:t>Capital</w:t>
            </w:r>
            <w:r w:rsidRPr="00CF4AEA">
              <w:t xml:space="preserve"> financing requirement</w:t>
            </w:r>
            <w:r w:rsidR="000E6D3F">
              <w:t>*</w:t>
            </w:r>
          </w:p>
        </w:tc>
        <w:tc>
          <w:tcPr>
            <w:tcW w:w="1560" w:type="dxa"/>
          </w:tcPr>
          <w:p w14:paraId="1305DCC1" w14:textId="77777777" w:rsidR="00802E87" w:rsidRPr="0077434A" w:rsidRDefault="009C0E87" w:rsidP="0077434A">
            <w:pPr>
              <w:jc w:val="center"/>
            </w:pPr>
            <w:r>
              <w:t>1.023</w:t>
            </w:r>
          </w:p>
        </w:tc>
        <w:tc>
          <w:tcPr>
            <w:tcW w:w="1560" w:type="dxa"/>
          </w:tcPr>
          <w:p w14:paraId="62F2A690" w14:textId="77777777" w:rsidR="00802E87" w:rsidRPr="0077434A" w:rsidRDefault="009C0E87" w:rsidP="0077434A">
            <w:pPr>
              <w:jc w:val="center"/>
            </w:pPr>
            <w:r>
              <w:t>0.119</w:t>
            </w:r>
          </w:p>
        </w:tc>
        <w:tc>
          <w:tcPr>
            <w:tcW w:w="1560" w:type="dxa"/>
          </w:tcPr>
          <w:p w14:paraId="11ECC2F9" w14:textId="77777777" w:rsidR="00802E87" w:rsidRPr="0077434A" w:rsidRDefault="009C0E87" w:rsidP="0077434A">
            <w:pPr>
              <w:jc w:val="center"/>
            </w:pPr>
            <w:r>
              <w:t>0.126</w:t>
            </w:r>
          </w:p>
        </w:tc>
      </w:tr>
    </w:tbl>
    <w:p w14:paraId="06BDB68D" w14:textId="77777777" w:rsidR="007E46A0" w:rsidRPr="000E6D3F" w:rsidRDefault="000E6D3F" w:rsidP="000E6D3F">
      <w:pPr>
        <w:jc w:val="center"/>
        <w:rPr>
          <w:i/>
          <w:sz w:val="18"/>
          <w:szCs w:val="18"/>
        </w:rPr>
      </w:pPr>
      <w:r w:rsidRPr="000E6D3F">
        <w:rPr>
          <w:i/>
          <w:sz w:val="18"/>
          <w:szCs w:val="18"/>
        </w:rPr>
        <w:t>* calculated as separate from the requirement including PPP assets</w:t>
      </w:r>
    </w:p>
    <w:p w14:paraId="3710E2D1" w14:textId="77777777" w:rsidR="00931313" w:rsidRDefault="00931313" w:rsidP="00931313">
      <w:r>
        <w:t>4.2.</w:t>
      </w:r>
      <w:r>
        <w:tab/>
      </w:r>
      <w:r w:rsidR="007E46A0">
        <w:t>These requirements are calculated as:</w:t>
      </w:r>
    </w:p>
    <w:p w14:paraId="1DDA2A1E" w14:textId="77777777" w:rsidR="007E46A0" w:rsidRDefault="007E46A0" w:rsidP="007E46A0">
      <w:pPr>
        <w:ind w:left="1440"/>
      </w:pPr>
      <w:r>
        <w:t>(</w:t>
      </w:r>
      <w:proofErr w:type="spellStart"/>
      <w:r>
        <w:t>i</w:t>
      </w:r>
      <w:proofErr w:type="spellEnd"/>
      <w:r>
        <w:t>)</w:t>
      </w:r>
      <w:r>
        <w:tab/>
        <w:t xml:space="preserve">that element of the proposed </w:t>
      </w:r>
      <w:r w:rsidR="005B5E63">
        <w:t>Capital</w:t>
      </w:r>
      <w:r>
        <w:t xml:space="preserve"> Programme not financed by specific grant, </w:t>
      </w:r>
      <w:r w:rsidR="005B5E63">
        <w:t>Capital</w:t>
      </w:r>
      <w:r>
        <w:t xml:space="preserve"> receipts or earmarked balances:</w:t>
      </w:r>
    </w:p>
    <w:p w14:paraId="558E9198" w14:textId="77777777" w:rsidR="007E46A0" w:rsidRDefault="007E46A0" w:rsidP="007E46A0">
      <w:pPr>
        <w:ind w:left="1440"/>
      </w:pPr>
      <w:r>
        <w:t>(ii)</w:t>
      </w:r>
      <w:r>
        <w:tab/>
        <w:t xml:space="preserve">less the Annual Revenue Provision, as calculated by reference to the </w:t>
      </w:r>
      <w:r w:rsidR="005B5E63">
        <w:t>Capital</w:t>
      </w:r>
      <w:r>
        <w:t xml:space="preserve"> Finance and Accounting Regulations 2008 (as considered in section 5).</w:t>
      </w:r>
    </w:p>
    <w:p w14:paraId="5974661C" w14:textId="77777777" w:rsidR="007E46A0" w:rsidRDefault="007E46A0" w:rsidP="00931313">
      <w:r>
        <w:t>4.3</w:t>
      </w:r>
      <w:r>
        <w:tab/>
        <w:t xml:space="preserve">The table shows that the in-year </w:t>
      </w:r>
      <w:r w:rsidR="005B5E63">
        <w:t>Capital</w:t>
      </w:r>
      <w:r>
        <w:t xml:space="preserve"> financing requirement during the </w:t>
      </w:r>
      <w:proofErr w:type="gramStart"/>
      <w:r>
        <w:t>three year</w:t>
      </w:r>
      <w:proofErr w:type="gramEnd"/>
      <w:r>
        <w:t xml:space="preserve"> period </w:t>
      </w:r>
      <w:r w:rsidR="009C0E87">
        <w:t>and</w:t>
      </w:r>
      <w:r>
        <w:t xml:space="preserve"> reflects the Authority’s capacity to support the </w:t>
      </w:r>
      <w:r w:rsidR="005B5E63">
        <w:t>Capital</w:t>
      </w:r>
      <w:r>
        <w:t xml:space="preserve"> programme.</w:t>
      </w:r>
    </w:p>
    <w:p w14:paraId="617E1D9B" w14:textId="77777777" w:rsidR="00471EE3" w:rsidRDefault="007E46A0" w:rsidP="009C0E87">
      <w:r>
        <w:t>4.4</w:t>
      </w:r>
      <w:r>
        <w:tab/>
        <w:t xml:space="preserve">The current position </w:t>
      </w:r>
      <w:r w:rsidR="0013727D">
        <w:t>is</w:t>
      </w:r>
      <w:r>
        <w:t xml:space="preserve"> a product of previous decisions to use cash arising from available reserves and balances to negate the need to borrow. With historically and abnormally low Bank Rates, the avoidance of new external borrowing has reduced costs in the short term and reduced longer term exposure to interest rate and credit risk</w:t>
      </w:r>
      <w:r w:rsidR="009C0E87">
        <w:t>.</w:t>
      </w:r>
    </w:p>
    <w:p w14:paraId="3E42B08E" w14:textId="77777777" w:rsidR="005C51BB" w:rsidRDefault="005C51BB" w:rsidP="00931313">
      <w:r>
        <w:t>4.5</w:t>
      </w:r>
      <w:r>
        <w:tab/>
      </w:r>
      <w:r w:rsidRPr="00CF4AEA">
        <w:t>The pro</w:t>
      </w:r>
      <w:r w:rsidR="00CF4AEA">
        <w:t xml:space="preserve">spect of returning to borrowing in the future to fulfil a </w:t>
      </w:r>
      <w:r w:rsidR="005B5E63">
        <w:t>Capital</w:t>
      </w:r>
      <w:r w:rsidRPr="00CF4AEA">
        <w:t xml:space="preserve"> programme will be </w:t>
      </w:r>
      <w:r w:rsidR="009C0E87">
        <w:t xml:space="preserve">necessary to fund the investment. </w:t>
      </w:r>
      <w:r>
        <w:t xml:space="preserve">Given the increases in </w:t>
      </w:r>
      <w:r w:rsidR="00254AB0">
        <w:t xml:space="preserve">PWLB </w:t>
      </w:r>
      <w:r>
        <w:t xml:space="preserve">borrowing rates, </w:t>
      </w:r>
      <w:r w:rsidR="00254AB0">
        <w:t xml:space="preserve">it is likely </w:t>
      </w:r>
      <w:r>
        <w:t xml:space="preserve">that any future borrowing may attract higher rates than </w:t>
      </w:r>
      <w:r w:rsidR="00254AB0">
        <w:t>were previously</w:t>
      </w:r>
      <w:r>
        <w:t xml:space="preserve"> available.</w:t>
      </w:r>
    </w:p>
    <w:p w14:paraId="1F7C0AFC" w14:textId="77777777" w:rsidR="005C51BB" w:rsidRDefault="005C51BB" w:rsidP="00931313">
      <w:r>
        <w:t>4.6</w:t>
      </w:r>
      <w:r>
        <w:tab/>
        <w:t>Given the prevailing uncertainty the continuing need for caution will underpin the Authority’s approach to Treasury Management via St Helens Council. Where conditions are considered to have changed so that they could have an impact on the Authority’s underlying financial position Members will be advised and their views sought on which option available provides the most appropriate course of action for the Authority.</w:t>
      </w:r>
    </w:p>
    <w:p w14:paraId="74BE1F63" w14:textId="77777777" w:rsidR="00CF4AEA" w:rsidRDefault="00CF4AEA">
      <w:r>
        <w:br w:type="page"/>
      </w:r>
    </w:p>
    <w:p w14:paraId="3CC721DC" w14:textId="77777777" w:rsidR="00D617BA" w:rsidRDefault="00D617BA" w:rsidP="00931313"/>
    <w:p w14:paraId="3E6AC95E" w14:textId="77777777" w:rsidR="005C51BB" w:rsidRPr="005C51BB" w:rsidRDefault="005C51BB" w:rsidP="00EC3CD6">
      <w:pPr>
        <w:rPr>
          <w:b/>
        </w:rPr>
      </w:pPr>
      <w:r w:rsidRPr="005C51BB">
        <w:rPr>
          <w:b/>
        </w:rPr>
        <w:t>5.</w:t>
      </w:r>
      <w:r w:rsidRPr="005C51BB">
        <w:rPr>
          <w:b/>
        </w:rPr>
        <w:tab/>
        <w:t>Annual Revenue Provision Statement</w:t>
      </w:r>
    </w:p>
    <w:p w14:paraId="21BBE9D3" w14:textId="77777777" w:rsidR="005C51BB" w:rsidRDefault="005C51BB" w:rsidP="00931313">
      <w:r>
        <w:t>5.1</w:t>
      </w:r>
      <w:r>
        <w:tab/>
        <w:t xml:space="preserve">Under Regulation 27 of the </w:t>
      </w:r>
      <w:r w:rsidR="005B5E63">
        <w:t>Capital</w:t>
      </w:r>
      <w:r>
        <w:t xml:space="preserve"> Finance Regulations</w:t>
      </w:r>
      <w:r w:rsidR="00D64940">
        <w:t xml:space="preserve">, Local authorities are required to charge their revenue account for each financial year with a Minimum Revenue Provision (MRP) to account for the repayment of principal in that financial year. The requirement to make this statutory provision was amended under regulation 28 of the </w:t>
      </w:r>
      <w:r w:rsidR="005B5E63">
        <w:t>Capital</w:t>
      </w:r>
      <w:r w:rsidR="00D64940">
        <w:t xml:space="preserve"> Finance Regulations 2008. The current Regulation 28 sets out a duty for a Local Authority to make an amount of Minimum Revenue Provision </w:t>
      </w:r>
      <w:r w:rsidR="0013727D">
        <w:t xml:space="preserve">(MRP) </w:t>
      </w:r>
      <w:r w:rsidR="00D64940">
        <w:t>which it considers to be prudent.</w:t>
      </w:r>
    </w:p>
    <w:p w14:paraId="410612DA" w14:textId="77777777" w:rsidR="00D64940" w:rsidRDefault="00D64940" w:rsidP="00931313">
      <w:r>
        <w:t>5.2</w:t>
      </w:r>
      <w:r>
        <w:tab/>
        <w:t>Under Regulation 28</w:t>
      </w:r>
      <w:r w:rsidR="00AA6884">
        <w:t xml:space="preserve">, Authorities are provided with </w:t>
      </w:r>
      <w:proofErr w:type="gramStart"/>
      <w:r w:rsidR="00AA6884">
        <w:t>a number of</w:t>
      </w:r>
      <w:proofErr w:type="gramEnd"/>
      <w:r w:rsidR="00AA6884">
        <w:t xml:space="preserve"> alternative approaches, which can be adopted for the purpose of calculating a ‘prudent provision’. The approach by an authority should be outlined in a Statement and submitted to the Authority for consideration. The statement below outlines the approach the Authority undertakes in the calculation of its revenue provision.</w:t>
      </w:r>
    </w:p>
    <w:p w14:paraId="210E0ED0" w14:textId="77777777" w:rsidR="001E1F17" w:rsidRPr="001E1F17" w:rsidRDefault="001E1F17" w:rsidP="001E1F17">
      <w:pPr>
        <w:rPr>
          <w:rFonts w:ascii="Calibri" w:eastAsia="Times New Roman" w:hAnsi="Calibri" w:cs="Times New Roman"/>
          <w:color w:val="000000"/>
          <w:lang w:eastAsia="en-GB"/>
        </w:rPr>
      </w:pPr>
      <w:r>
        <w:t>5.3</w:t>
      </w:r>
      <w:r>
        <w:tab/>
      </w:r>
      <w:r w:rsidRPr="001E1F17">
        <w:t>The Authority policy is to estimate MRP based on the Asset Life method</w:t>
      </w:r>
      <w:r>
        <w:t xml:space="preserve">. </w:t>
      </w:r>
      <w:r w:rsidRPr="001E1F17">
        <w:rPr>
          <w:rFonts w:ascii="Calibri" w:eastAsia="Times New Roman" w:hAnsi="Calibri" w:cs="Times New Roman"/>
          <w:color w:val="000000"/>
          <w:lang w:eastAsia="en-GB"/>
        </w:rPr>
        <w:t>D</w:t>
      </w:r>
      <w:r>
        <w:rPr>
          <w:rFonts w:ascii="Calibri" w:eastAsia="Times New Roman" w:hAnsi="Calibri" w:cs="Times New Roman"/>
          <w:color w:val="000000"/>
          <w:lang w:eastAsia="en-GB"/>
        </w:rPr>
        <w:t xml:space="preserve">epartment of </w:t>
      </w:r>
      <w:r w:rsidRPr="001E1F17">
        <w:rPr>
          <w:rFonts w:ascii="Calibri" w:eastAsia="Times New Roman" w:hAnsi="Calibri" w:cs="Times New Roman"/>
          <w:color w:val="000000"/>
          <w:lang w:eastAsia="en-GB"/>
        </w:rPr>
        <w:t>C</w:t>
      </w:r>
      <w:r>
        <w:rPr>
          <w:rFonts w:ascii="Calibri" w:eastAsia="Times New Roman" w:hAnsi="Calibri" w:cs="Times New Roman"/>
          <w:color w:val="000000"/>
          <w:lang w:eastAsia="en-GB"/>
        </w:rPr>
        <w:t xml:space="preserve">ommunities and </w:t>
      </w:r>
      <w:r w:rsidRPr="001E1F17">
        <w:rPr>
          <w:rFonts w:ascii="Calibri" w:eastAsia="Times New Roman" w:hAnsi="Calibri" w:cs="Times New Roman"/>
          <w:color w:val="000000"/>
          <w:lang w:eastAsia="en-GB"/>
        </w:rPr>
        <w:t>L</w:t>
      </w:r>
      <w:r>
        <w:rPr>
          <w:rFonts w:ascii="Calibri" w:eastAsia="Times New Roman" w:hAnsi="Calibri" w:cs="Times New Roman"/>
          <w:color w:val="000000"/>
          <w:lang w:eastAsia="en-GB"/>
        </w:rPr>
        <w:t xml:space="preserve">ocal </w:t>
      </w:r>
      <w:r w:rsidRPr="001E1F17">
        <w:rPr>
          <w:rFonts w:ascii="Calibri" w:eastAsia="Times New Roman" w:hAnsi="Calibri" w:cs="Times New Roman"/>
          <w:color w:val="000000"/>
          <w:lang w:eastAsia="en-GB"/>
        </w:rPr>
        <w:t>G</w:t>
      </w:r>
      <w:r>
        <w:rPr>
          <w:rFonts w:ascii="Calibri" w:eastAsia="Times New Roman" w:hAnsi="Calibri" w:cs="Times New Roman"/>
          <w:color w:val="000000"/>
          <w:lang w:eastAsia="en-GB"/>
        </w:rPr>
        <w:t>overnment (DCLG)</w:t>
      </w:r>
      <w:r w:rsidRPr="001E1F17">
        <w:rPr>
          <w:rFonts w:ascii="Calibri" w:eastAsia="Times New Roman" w:hAnsi="Calibri" w:cs="Times New Roman"/>
          <w:color w:val="000000"/>
          <w:lang w:eastAsia="en-GB"/>
        </w:rPr>
        <w:t xml:space="preserve"> guidance is that this method may only be used for </w:t>
      </w:r>
      <w:r w:rsidR="005B5E63">
        <w:rPr>
          <w:rFonts w:ascii="Calibri" w:eastAsia="Times New Roman" w:hAnsi="Calibri" w:cs="Times New Roman"/>
          <w:color w:val="000000"/>
          <w:lang w:eastAsia="en-GB"/>
        </w:rPr>
        <w:t>Capital</w:t>
      </w:r>
      <w:r w:rsidRPr="001E1F17">
        <w:rPr>
          <w:rFonts w:ascii="Calibri" w:eastAsia="Times New Roman" w:hAnsi="Calibri" w:cs="Times New Roman"/>
          <w:color w:val="000000"/>
          <w:lang w:eastAsia="en-GB"/>
        </w:rPr>
        <w:t xml:space="preserve"> expenditure incurred after 1 April 2008  (para 16)</w:t>
      </w:r>
      <w:r>
        <w:rPr>
          <w:rFonts w:ascii="Calibri" w:eastAsia="Times New Roman" w:hAnsi="Calibri" w:cs="Times New Roman"/>
          <w:color w:val="000000"/>
          <w:lang w:eastAsia="en-GB"/>
        </w:rPr>
        <w:t xml:space="preserve">; </w:t>
      </w:r>
      <w:r w:rsidR="005B5E63">
        <w:rPr>
          <w:rFonts w:ascii="Calibri" w:eastAsia="Times New Roman" w:hAnsi="Calibri" w:cs="Times New Roman"/>
          <w:color w:val="000000"/>
          <w:lang w:eastAsia="en-GB"/>
        </w:rPr>
        <w:t>Capital</w:t>
      </w:r>
      <w:r w:rsidRPr="001E1F17">
        <w:rPr>
          <w:rFonts w:ascii="Calibri" w:eastAsia="Times New Roman" w:hAnsi="Calibri" w:cs="Times New Roman"/>
          <w:color w:val="000000"/>
          <w:lang w:eastAsia="en-GB"/>
        </w:rPr>
        <w:t xml:space="preserve"> expenditure incurred before 1 April </w:t>
      </w:r>
      <w:r>
        <w:rPr>
          <w:rFonts w:ascii="Calibri" w:eastAsia="Times New Roman" w:hAnsi="Calibri" w:cs="Times New Roman"/>
          <w:color w:val="000000"/>
          <w:lang w:eastAsia="en-GB"/>
        </w:rPr>
        <w:t xml:space="preserve">2008 </w:t>
      </w:r>
      <w:r w:rsidRPr="001E1F17">
        <w:rPr>
          <w:rFonts w:ascii="Calibri" w:eastAsia="Times New Roman" w:hAnsi="Calibri" w:cs="Times New Roman"/>
          <w:color w:val="000000"/>
          <w:lang w:eastAsia="en-GB"/>
        </w:rPr>
        <w:t>has to be charged based on the regulatory method i</w:t>
      </w:r>
      <w:r w:rsidR="009805FF">
        <w:rPr>
          <w:rFonts w:ascii="Calibri" w:eastAsia="Times New Roman" w:hAnsi="Calibri" w:cs="Times New Roman"/>
          <w:color w:val="000000"/>
          <w:lang w:eastAsia="en-GB"/>
        </w:rPr>
        <w:t>.</w:t>
      </w:r>
      <w:r w:rsidRPr="001E1F17">
        <w:rPr>
          <w:rFonts w:ascii="Calibri" w:eastAsia="Times New Roman" w:hAnsi="Calibri" w:cs="Times New Roman"/>
          <w:color w:val="000000"/>
          <w:lang w:eastAsia="en-GB"/>
        </w:rPr>
        <w:t xml:space="preserve">e. 2% of opening </w:t>
      </w:r>
      <w:r w:rsidR="005B5E63">
        <w:rPr>
          <w:rFonts w:ascii="Calibri" w:eastAsia="Times New Roman" w:hAnsi="Calibri" w:cs="Times New Roman"/>
          <w:color w:val="000000"/>
          <w:lang w:eastAsia="en-GB"/>
        </w:rPr>
        <w:t>Capital</w:t>
      </w:r>
      <w:r>
        <w:rPr>
          <w:rFonts w:ascii="Calibri" w:eastAsia="Times New Roman" w:hAnsi="Calibri" w:cs="Times New Roman"/>
          <w:color w:val="000000"/>
          <w:lang w:eastAsia="en-GB"/>
        </w:rPr>
        <w:t xml:space="preserve"> </w:t>
      </w:r>
      <w:r w:rsidRPr="001E1F17">
        <w:rPr>
          <w:rFonts w:ascii="Calibri" w:eastAsia="Times New Roman" w:hAnsi="Calibri" w:cs="Times New Roman"/>
          <w:color w:val="000000"/>
          <w:lang w:eastAsia="en-GB"/>
        </w:rPr>
        <w:t>F</w:t>
      </w:r>
      <w:r>
        <w:rPr>
          <w:rFonts w:ascii="Calibri" w:eastAsia="Times New Roman" w:hAnsi="Calibri" w:cs="Times New Roman"/>
          <w:color w:val="000000"/>
          <w:lang w:eastAsia="en-GB"/>
        </w:rPr>
        <w:t xml:space="preserve">inancing </w:t>
      </w:r>
      <w:r w:rsidRPr="001E1F17">
        <w:rPr>
          <w:rFonts w:ascii="Calibri" w:eastAsia="Times New Roman" w:hAnsi="Calibri" w:cs="Times New Roman"/>
          <w:color w:val="000000"/>
          <w:lang w:eastAsia="en-GB"/>
        </w:rPr>
        <w:t>R</w:t>
      </w:r>
      <w:r>
        <w:rPr>
          <w:rFonts w:ascii="Calibri" w:eastAsia="Times New Roman" w:hAnsi="Calibri" w:cs="Times New Roman"/>
          <w:color w:val="000000"/>
          <w:lang w:eastAsia="en-GB"/>
        </w:rPr>
        <w:t>equirement</w:t>
      </w:r>
      <w:r w:rsidRPr="001E1F17">
        <w:rPr>
          <w:rFonts w:ascii="Calibri" w:eastAsia="Times New Roman" w:hAnsi="Calibri" w:cs="Times New Roman"/>
          <w:color w:val="000000"/>
          <w:lang w:eastAsia="en-GB"/>
        </w:rPr>
        <w:t xml:space="preserve"> (para 16)</w:t>
      </w:r>
      <w:r>
        <w:rPr>
          <w:rFonts w:ascii="Calibri" w:eastAsia="Times New Roman" w:hAnsi="Calibri" w:cs="Times New Roman"/>
          <w:color w:val="000000"/>
          <w:lang w:eastAsia="en-GB"/>
        </w:rPr>
        <w:t>.</w:t>
      </w:r>
      <w:r w:rsidRPr="001E1F17">
        <w:rPr>
          <w:rFonts w:ascii="Calibri" w:hAnsi="Calibri"/>
          <w:color w:val="000000"/>
        </w:rPr>
        <w:t xml:space="preserve"> </w:t>
      </w:r>
      <w:r w:rsidRPr="001E1F17">
        <w:rPr>
          <w:rFonts w:ascii="Calibri" w:eastAsia="Times New Roman" w:hAnsi="Calibri" w:cs="Times New Roman"/>
          <w:color w:val="000000"/>
          <w:lang w:eastAsia="en-GB"/>
        </w:rPr>
        <w:t>For finance leases and PFI schemes, the MRP to be charged is the principal element of the contract (para 20)</w:t>
      </w:r>
      <w:r>
        <w:rPr>
          <w:rFonts w:ascii="Calibri" w:eastAsia="Times New Roman" w:hAnsi="Calibri" w:cs="Times New Roman"/>
          <w:color w:val="000000"/>
          <w:lang w:eastAsia="en-GB"/>
        </w:rPr>
        <w:t>.</w:t>
      </w:r>
    </w:p>
    <w:p w14:paraId="335AFE55" w14:textId="77777777" w:rsidR="00D80280" w:rsidRDefault="001E1F17" w:rsidP="00931313">
      <w:r>
        <w:t>5.4</w:t>
      </w:r>
      <w:r>
        <w:tab/>
      </w:r>
      <w:r w:rsidR="00D80280" w:rsidRPr="00D80280">
        <w:t>Para 8 of the DCLG MRP Guidance states that for the CFR method of calculating MRP this 4% of the CFR for the preceding year.</w:t>
      </w:r>
      <w:r w:rsidR="00D80280">
        <w:t xml:space="preserve"> </w:t>
      </w:r>
      <w:r w:rsidR="00D80280" w:rsidRPr="00D80280">
        <w:t xml:space="preserve">Para 16(a) of the DCLG MRP Guidance states that Options 1 and 2 can only be used for </w:t>
      </w:r>
      <w:r w:rsidR="005B5E63">
        <w:t>Capital</w:t>
      </w:r>
      <w:r w:rsidR="00D80280" w:rsidRPr="00D80280">
        <w:t xml:space="preserve"> expenditure incurred before 1 April 2008</w:t>
      </w:r>
      <w:r>
        <w:t>.</w:t>
      </w:r>
      <w:r w:rsidR="00D80280">
        <w:t xml:space="preserve"> </w:t>
      </w:r>
      <w:r w:rsidR="00D80280" w:rsidRPr="00D80280">
        <w:t>This has the following consequences:</w:t>
      </w:r>
    </w:p>
    <w:p w14:paraId="44DBC245" w14:textId="77777777" w:rsidR="00D80280" w:rsidRDefault="00D80280" w:rsidP="001E1F17">
      <w:pPr>
        <w:pStyle w:val="ListParagraph"/>
        <w:numPr>
          <w:ilvl w:val="0"/>
          <w:numId w:val="3"/>
        </w:numPr>
      </w:pPr>
      <w:r w:rsidRPr="00D80280">
        <w:t xml:space="preserve">MRP for 2008/09 </w:t>
      </w:r>
      <w:r w:rsidR="00254AB0">
        <w:t>is</w:t>
      </w:r>
      <w:r w:rsidRPr="00D80280">
        <w:t xml:space="preserve"> be solely based on the CFR for 31/3/2008, because MRP under the Asset Life method only starts in the year following the </w:t>
      </w:r>
      <w:r w:rsidR="005B5E63">
        <w:t>Capital</w:t>
      </w:r>
      <w:r w:rsidRPr="00D80280">
        <w:t xml:space="preserve"> expenditure being incurred (para 10 of the DCLG MRP Guidance refers)</w:t>
      </w:r>
      <w:r w:rsidR="001E1F17">
        <w:t>;</w:t>
      </w:r>
    </w:p>
    <w:p w14:paraId="3DB89E2B" w14:textId="77777777" w:rsidR="00D80280" w:rsidRDefault="00D80280" w:rsidP="001E1F17">
      <w:pPr>
        <w:pStyle w:val="ListParagraph"/>
        <w:numPr>
          <w:ilvl w:val="0"/>
          <w:numId w:val="3"/>
        </w:numPr>
      </w:pPr>
      <w:r w:rsidRPr="00D80280">
        <w:t xml:space="preserve">Because the Authority opted to use the Asset Life method for all </w:t>
      </w:r>
      <w:r w:rsidR="005B5E63">
        <w:t>Capital</w:t>
      </w:r>
      <w:r w:rsidRPr="00D80280">
        <w:t xml:space="preserve"> expenditure incurred after 1 April 2008, it follows that the CFR method </w:t>
      </w:r>
      <w:r w:rsidR="00254AB0">
        <w:t>is</w:t>
      </w:r>
      <w:r w:rsidRPr="00D80280">
        <w:t xml:space="preserve"> effectively based solely on the CFR as at 31/3/2008, because all subsequent expenditure will be on the Asset Life method and revaluations of pre 1 April 2008</w:t>
      </w:r>
      <w:r w:rsidR="00254AB0">
        <w:t>.</w:t>
      </w:r>
      <w:r w:rsidRPr="00D80280">
        <w:t xml:space="preserve"> </w:t>
      </w:r>
      <w:r w:rsidR="005B5E63">
        <w:t>Capital</w:t>
      </w:r>
      <w:r w:rsidRPr="00D80280">
        <w:t xml:space="preserve"> expenditure will be neutral to the CFR, because upward asset revaluations will be equally matched by upward increases in the Revaluation Reserve for each asset (and vice versa for impairments)</w:t>
      </w:r>
      <w:r w:rsidR="001E1F17">
        <w:t>.</w:t>
      </w:r>
    </w:p>
    <w:p w14:paraId="6E98ADF0" w14:textId="77777777" w:rsidR="00D80280" w:rsidRDefault="001E1F17" w:rsidP="00931313">
      <w:r>
        <w:t>5.5</w:t>
      </w:r>
      <w:r>
        <w:tab/>
      </w:r>
      <w:r w:rsidR="00D80280" w:rsidRPr="00D80280">
        <w:t>Para 20 of the DCLG MRP Guidance states "In the case of finance leases and on balance-sheet PFI contracts, the MRP requirement would be regarded as met by a charge equal to the element of the rent/charge that goes to write down the balance sheet liability."</w:t>
      </w:r>
      <w:r w:rsidR="00D80280">
        <w:t xml:space="preserve"> </w:t>
      </w:r>
      <w:r w:rsidR="00D80280" w:rsidRPr="00D80280">
        <w:t>The Authority has no finance leases, therefore the only MRP under this option will be</w:t>
      </w:r>
      <w:r w:rsidR="00331C89">
        <w:t xml:space="preserve"> the "principal" on the Veolia </w:t>
      </w:r>
      <w:r w:rsidR="00D80280" w:rsidRPr="00D80280">
        <w:t xml:space="preserve">and on the </w:t>
      </w:r>
      <w:r w:rsidR="007F3C88">
        <w:t>MERL</w:t>
      </w:r>
      <w:r w:rsidR="00D80280" w:rsidRPr="00D80280">
        <w:t xml:space="preserve"> service concession contracts</w:t>
      </w:r>
      <w:r>
        <w:t>.</w:t>
      </w:r>
    </w:p>
    <w:p w14:paraId="7255B39D" w14:textId="77777777" w:rsidR="00D617BA" w:rsidRDefault="00D617BA" w:rsidP="00931313"/>
    <w:p w14:paraId="5CD88FBC" w14:textId="77777777" w:rsidR="00254AB0" w:rsidRDefault="00254AB0" w:rsidP="00931313"/>
    <w:p w14:paraId="7B0F0951" w14:textId="77777777" w:rsidR="00D617BA" w:rsidRPr="00D617BA" w:rsidRDefault="00D617BA" w:rsidP="00931313">
      <w:pPr>
        <w:rPr>
          <w:b/>
        </w:rPr>
      </w:pPr>
      <w:r w:rsidRPr="00D617BA">
        <w:rPr>
          <w:b/>
        </w:rPr>
        <w:lastRenderedPageBreak/>
        <w:t>6.</w:t>
      </w:r>
      <w:r w:rsidRPr="00D617BA">
        <w:rPr>
          <w:b/>
        </w:rPr>
        <w:tab/>
        <w:t>Annual Investment Strategy</w:t>
      </w:r>
    </w:p>
    <w:p w14:paraId="0AE56975" w14:textId="77777777" w:rsidR="00D617BA" w:rsidRDefault="00D617BA" w:rsidP="00931313">
      <w:r>
        <w:t>6.1</w:t>
      </w:r>
      <w:r>
        <w:tab/>
        <w:t>Alongside the Treasury Management Service provided by St Helens Council</w:t>
      </w:r>
      <w:r w:rsidR="007328E0">
        <w:t>,</w:t>
      </w:r>
      <w:r>
        <w:t xml:space="preserve"> the Authority will have regard to the </w:t>
      </w:r>
      <w:r w:rsidR="003859CD">
        <w:t>MH</w:t>
      </w:r>
      <w:r>
        <w:t>CLG’s Guidance on Local Government Investments and CIPFA’s Code of Practice when working with the Council, which conducts investment activity on behalf of the Authority. The overriding priority of both the Authority and the Council are that security and liquidity of funds are of paramount importance.</w:t>
      </w:r>
    </w:p>
    <w:p w14:paraId="1E0B58E4" w14:textId="77777777" w:rsidR="00D617BA" w:rsidRDefault="00D617BA" w:rsidP="00931313">
      <w:r>
        <w:t>6.2</w:t>
      </w:r>
      <w:r>
        <w:tab/>
        <w:t>In accordance with the above, and in order to minimise the risk to investments the Authority supports the Council’s approach to clearly stipulate minimum acceptable credit quality of Counterparties for inclusion on the Council’s lending list. The creditworthiness methodology used by the Council to create the Counterparty list takes account of rating</w:t>
      </w:r>
      <w:r w:rsidR="008237CD">
        <w:t>s</w:t>
      </w:r>
      <w:r>
        <w:t xml:space="preserve"> provided by FITCH, one of three main ratings agencies. </w:t>
      </w:r>
      <w:r w:rsidR="003859CD">
        <w:t>Any</w:t>
      </w:r>
      <w:r w:rsidR="00340C53">
        <w:t xml:space="preserve"> investments made during </w:t>
      </w:r>
      <w:r w:rsidR="00254AB0">
        <w:t>202</w:t>
      </w:r>
      <w:r w:rsidR="009C0E87">
        <w:t>1</w:t>
      </w:r>
      <w:r w:rsidR="00254AB0">
        <w:t>/2</w:t>
      </w:r>
      <w:r w:rsidR="009C0E87">
        <w:t>2</w:t>
      </w:r>
      <w:r>
        <w:t xml:space="preserve"> will be in accordance with the Annual Investment Strategy, which is detailed in </w:t>
      </w:r>
      <w:r w:rsidR="00F73228">
        <w:t>annex</w:t>
      </w:r>
      <w:r>
        <w:t xml:space="preserve"> </w:t>
      </w:r>
      <w:r w:rsidR="00620C63">
        <w:t>1</w:t>
      </w:r>
      <w:r>
        <w:t xml:space="preserve"> and mirrors the Council’s Strategy.</w:t>
      </w:r>
    </w:p>
    <w:p w14:paraId="345DDCD3" w14:textId="77777777" w:rsidR="00114B59" w:rsidRDefault="00114B59" w:rsidP="00931313">
      <w:r>
        <w:t>6.3</w:t>
      </w:r>
      <w:r>
        <w:tab/>
        <w:t>In keeping with previous decisions, the Authority has agreed with the Council’s strategy to seek to lock in longer period investments where opportunities and Counterparty criteria permits. At the same time the Council’s treasury managers have made maximum strategic use of its call facilities and Money Market Funds (MMFs) for cash flow generated balances and to ensure liquidity</w:t>
      </w:r>
      <w:r w:rsidR="00551296">
        <w:t xml:space="preserve">. This will continue during </w:t>
      </w:r>
      <w:r w:rsidR="00254AB0">
        <w:t>202</w:t>
      </w:r>
      <w:r w:rsidR="009C0E87">
        <w:t>1</w:t>
      </w:r>
      <w:r w:rsidR="00254AB0">
        <w:t>/2</w:t>
      </w:r>
      <w:r w:rsidR="009C0E87">
        <w:t>2</w:t>
      </w:r>
      <w:r>
        <w:t>, subject to:</w:t>
      </w:r>
    </w:p>
    <w:p w14:paraId="0FED54C2" w14:textId="77777777" w:rsidR="00114B59" w:rsidRDefault="00114B59" w:rsidP="00114B59">
      <w:pPr>
        <w:pStyle w:val="ListParagraph"/>
        <w:numPr>
          <w:ilvl w:val="0"/>
          <w:numId w:val="4"/>
        </w:numPr>
      </w:pPr>
      <w:r>
        <w:t>The outlook for medium term interest rates (i.e. to avoid locking into deals whilst investment rates are at historically low levels and there is a forecast pick up in rates over the medium term);</w:t>
      </w:r>
    </w:p>
    <w:p w14:paraId="1ED9629B" w14:textId="77777777" w:rsidR="00114B59" w:rsidRDefault="00114B59" w:rsidP="00114B59">
      <w:pPr>
        <w:pStyle w:val="ListParagraph"/>
        <w:numPr>
          <w:ilvl w:val="0"/>
          <w:numId w:val="4"/>
        </w:numPr>
      </w:pPr>
      <w:r>
        <w:t>The management of counterparty risk</w:t>
      </w:r>
    </w:p>
    <w:p w14:paraId="14A89CC4" w14:textId="77777777" w:rsidR="00114B59" w:rsidRDefault="00114B59" w:rsidP="00114B59">
      <w:pPr>
        <w:pStyle w:val="ListParagraph"/>
        <w:numPr>
          <w:ilvl w:val="0"/>
          <w:numId w:val="4"/>
        </w:numPr>
      </w:pPr>
      <w:r>
        <w:t>Any opportunities to repay debt using available investments</w:t>
      </w:r>
    </w:p>
    <w:p w14:paraId="2392D77B" w14:textId="77777777" w:rsidR="00114B59" w:rsidRDefault="00114B59" w:rsidP="00114B59">
      <w:pPr>
        <w:pStyle w:val="ListParagraph"/>
        <w:numPr>
          <w:ilvl w:val="0"/>
          <w:numId w:val="4"/>
        </w:numPr>
      </w:pPr>
      <w:r>
        <w:t>The Authority’s liquidity requirements</w:t>
      </w:r>
    </w:p>
    <w:p w14:paraId="53616013" w14:textId="77777777" w:rsidR="00114B59" w:rsidRDefault="00114B59" w:rsidP="00931313"/>
    <w:p w14:paraId="59AFA34D" w14:textId="77777777" w:rsidR="00340C53" w:rsidRDefault="00340C53">
      <w:pPr>
        <w:rPr>
          <w:b/>
        </w:rPr>
      </w:pPr>
      <w:r>
        <w:rPr>
          <w:b/>
        </w:rPr>
        <w:br w:type="page"/>
      </w:r>
    </w:p>
    <w:p w14:paraId="4218981D" w14:textId="77777777" w:rsidR="00114B59" w:rsidRPr="00825715" w:rsidRDefault="00114B59" w:rsidP="00931313">
      <w:pPr>
        <w:rPr>
          <w:b/>
        </w:rPr>
      </w:pPr>
      <w:r w:rsidRPr="00825715">
        <w:rPr>
          <w:b/>
        </w:rPr>
        <w:lastRenderedPageBreak/>
        <w:t>7.</w:t>
      </w:r>
      <w:r w:rsidRPr="00825715">
        <w:rPr>
          <w:b/>
        </w:rPr>
        <w:tab/>
        <w:t>Debt Rescheduling</w:t>
      </w:r>
    </w:p>
    <w:p w14:paraId="449073E4" w14:textId="77777777" w:rsidR="00825715" w:rsidRDefault="00825715" w:rsidP="00931313">
      <w:r>
        <w:t>7.1</w:t>
      </w:r>
      <w:r>
        <w:tab/>
        <w:t>Debt rescheduling has historically been undertaken in order to:</w:t>
      </w:r>
    </w:p>
    <w:p w14:paraId="74BAC61F" w14:textId="77777777" w:rsidR="00825715" w:rsidRDefault="00825715" w:rsidP="00825715">
      <w:pPr>
        <w:pStyle w:val="ListParagraph"/>
        <w:numPr>
          <w:ilvl w:val="0"/>
          <w:numId w:val="5"/>
        </w:numPr>
      </w:pPr>
      <w:r>
        <w:t>Generate cash savings at minimum risk;</w:t>
      </w:r>
    </w:p>
    <w:p w14:paraId="3C4F7A5D" w14:textId="77777777" w:rsidR="00825715" w:rsidRDefault="00825715" w:rsidP="00825715">
      <w:pPr>
        <w:pStyle w:val="ListParagraph"/>
        <w:numPr>
          <w:ilvl w:val="0"/>
          <w:numId w:val="5"/>
        </w:numPr>
      </w:pPr>
      <w:r>
        <w:t>Amend debt maturity profiles and / or the balance of volatility;</w:t>
      </w:r>
    </w:p>
    <w:p w14:paraId="5016193A" w14:textId="77777777" w:rsidR="00825715" w:rsidRDefault="00825715" w:rsidP="00825715">
      <w:pPr>
        <w:pStyle w:val="ListParagraph"/>
        <w:numPr>
          <w:ilvl w:val="0"/>
          <w:numId w:val="5"/>
        </w:numPr>
      </w:pPr>
      <w:r>
        <w:t>Aid fulfilment of the Authority’s overall borrowing strategy.</w:t>
      </w:r>
    </w:p>
    <w:p w14:paraId="7AD29EEF" w14:textId="2F58AF2E" w:rsidR="00825715" w:rsidRDefault="00825715" w:rsidP="00931313">
      <w:r>
        <w:t>7.2</w:t>
      </w:r>
      <w:r>
        <w:tab/>
        <w:t>Due to the expectation of short</w:t>
      </w:r>
      <w:r w:rsidR="00CB264C">
        <w:t>-</w:t>
      </w:r>
      <w:r>
        <w:t>term borrowing rates being considerably cheaper than longer term rates there may be some limited opportunities to generate savings by switching from long term to short term debt. However, these potential savings will need to be considered in light of their potentially short</w:t>
      </w:r>
      <w:r w:rsidR="00CB264C">
        <w:t>-</w:t>
      </w:r>
      <w:r>
        <w:t>term nature and the likely additional cost of refinancing those short term loans, once they mature, compared with the current rates of longer term debt in the existing portfolio.</w:t>
      </w:r>
    </w:p>
    <w:p w14:paraId="7D2820FF" w14:textId="7845445C" w:rsidR="00825715" w:rsidRDefault="00825715" w:rsidP="00931313">
      <w:r>
        <w:t>7.3</w:t>
      </w:r>
      <w:r>
        <w:tab/>
        <w:t>Consideration will also be given to whether there is potential for making savings by running down investment balances by repaying debt prematurely (as short</w:t>
      </w:r>
      <w:r w:rsidR="00CB264C">
        <w:t>-</w:t>
      </w:r>
      <w:r>
        <w:t>term investments are likely to be lower than rates paid on currently held debt). Due to the existence of higher redemption interest rates on PWLB debt premiums are highly likely to compromise such opportunity.</w:t>
      </w:r>
    </w:p>
    <w:p w14:paraId="0786BF51" w14:textId="77777777" w:rsidR="00825715" w:rsidRDefault="00825715" w:rsidP="00931313">
      <w:r>
        <w:t>7.4</w:t>
      </w:r>
      <w:r>
        <w:tab/>
        <w:t xml:space="preserve">While the Prudential Code allows the premium costs arising from debt rescheduling to be funded from </w:t>
      </w:r>
      <w:r w:rsidR="005B5E63">
        <w:t>Capital</w:t>
      </w:r>
      <w:r>
        <w:t xml:space="preserve"> receipts, the Authority currently h</w:t>
      </w:r>
      <w:r w:rsidR="00780CF4">
        <w:t xml:space="preserve">as no such receipts. There are </w:t>
      </w:r>
      <w:r>
        <w:t>no plans to sell any assets to generate such receipts</w:t>
      </w:r>
      <w:r w:rsidR="00780CF4">
        <w:t>, although in the event that such a sale took place and a receipt were to be generated</w:t>
      </w:r>
      <w:r w:rsidR="007328E0">
        <w:t>,</w:t>
      </w:r>
      <w:r w:rsidR="00780CF4">
        <w:t xml:space="preserve"> the Authority would have another option to reduce liabilities arising from borrowing activity and to reduce longer term revenue costs.</w:t>
      </w:r>
    </w:p>
    <w:p w14:paraId="57663076" w14:textId="77777777" w:rsidR="00780CF4" w:rsidRDefault="00780CF4" w:rsidP="00931313">
      <w:r>
        <w:t>7.5</w:t>
      </w:r>
      <w:r>
        <w:tab/>
        <w:t>Should any rescheduling opportunities arise that create potential for improvement in the Authority’s financial position, prudence will be exercise and any actions will be report</w:t>
      </w:r>
      <w:r w:rsidR="0013727D">
        <w:t>ed</w:t>
      </w:r>
      <w:r>
        <w:t xml:space="preserve"> as appropriate to the Authority.</w:t>
      </w:r>
    </w:p>
    <w:p w14:paraId="065DF4E4" w14:textId="77777777" w:rsidR="00153AC7" w:rsidRDefault="00153AC7">
      <w:r>
        <w:br w:type="page"/>
      </w:r>
    </w:p>
    <w:p w14:paraId="5D887005" w14:textId="77777777" w:rsidR="0013727D" w:rsidRDefault="0013727D" w:rsidP="00931313"/>
    <w:p w14:paraId="563E5B90" w14:textId="145C76A9" w:rsidR="0013727D" w:rsidRPr="0013727D" w:rsidRDefault="0013727D" w:rsidP="00931313">
      <w:pPr>
        <w:rPr>
          <w:b/>
        </w:rPr>
      </w:pPr>
      <w:r w:rsidRPr="0013727D">
        <w:rPr>
          <w:b/>
        </w:rPr>
        <w:t>8.</w:t>
      </w:r>
      <w:r w:rsidRPr="0013727D">
        <w:rPr>
          <w:b/>
        </w:rPr>
        <w:tab/>
        <w:t>Treasury Limit</w:t>
      </w:r>
      <w:r w:rsidR="00340C53">
        <w:rPr>
          <w:b/>
        </w:rPr>
        <w:t>s and Prudential Indicators 20</w:t>
      </w:r>
      <w:r w:rsidR="00CB264C">
        <w:rPr>
          <w:b/>
        </w:rPr>
        <w:t>2</w:t>
      </w:r>
      <w:r w:rsidR="009C0E87">
        <w:rPr>
          <w:b/>
        </w:rPr>
        <w:t>0</w:t>
      </w:r>
      <w:r w:rsidR="007F2D17">
        <w:rPr>
          <w:b/>
        </w:rPr>
        <w:t>/2</w:t>
      </w:r>
      <w:r w:rsidR="009C0E87">
        <w:rPr>
          <w:b/>
        </w:rPr>
        <w:t>1</w:t>
      </w:r>
      <w:r w:rsidRPr="0013727D">
        <w:rPr>
          <w:b/>
        </w:rPr>
        <w:t xml:space="preserve"> to 20</w:t>
      </w:r>
      <w:r w:rsidR="00153AC7">
        <w:rPr>
          <w:b/>
        </w:rPr>
        <w:t>2</w:t>
      </w:r>
      <w:r w:rsidR="009C0E87">
        <w:rPr>
          <w:b/>
        </w:rPr>
        <w:t>3</w:t>
      </w:r>
      <w:r w:rsidR="00340C53">
        <w:rPr>
          <w:b/>
        </w:rPr>
        <w:t>/2</w:t>
      </w:r>
      <w:r w:rsidR="009C0E87">
        <w:rPr>
          <w:b/>
        </w:rPr>
        <w:t>4</w:t>
      </w:r>
    </w:p>
    <w:p w14:paraId="314B84CC" w14:textId="77777777" w:rsidR="0013727D" w:rsidRDefault="0013727D" w:rsidP="00931313">
      <w:r>
        <w:t>8.1</w:t>
      </w:r>
      <w:r>
        <w:tab/>
        <w:t>It is a statutory duty under Section 3 of the Local Government Act 2003 and supporting Regulations for the Authority to determine and keep under review how much it can afford to borrow. The amount so determined is the “Affordable Borrowing Limit”.</w:t>
      </w:r>
    </w:p>
    <w:p w14:paraId="393245A6" w14:textId="77777777" w:rsidR="00B75FCA" w:rsidRDefault="00B75FCA" w:rsidP="00931313">
      <w:r>
        <w:t>8.2</w:t>
      </w:r>
      <w:r>
        <w:tab/>
        <w:t>The Authority must have regard to the Prudential Code when setting this limit. The Code also sets a series of limits and indicators that the Authority must consider.</w:t>
      </w:r>
    </w:p>
    <w:p w14:paraId="58A6CC57" w14:textId="77777777" w:rsidR="00B75FCA" w:rsidRDefault="00B75FCA" w:rsidP="00931313">
      <w:r>
        <w:t>8.3</w:t>
      </w:r>
      <w:r>
        <w:tab/>
        <w:t>The proposed limits and indicators required for appr</w:t>
      </w:r>
      <w:r w:rsidR="00153A0D">
        <w:t>oval for the period 20</w:t>
      </w:r>
      <w:r w:rsidR="009C0E87">
        <w:t>20</w:t>
      </w:r>
      <w:r w:rsidR="00153A0D">
        <w:t>/</w:t>
      </w:r>
      <w:r w:rsidR="007F2D17">
        <w:t>2</w:t>
      </w:r>
      <w:r w:rsidR="009C0E87">
        <w:t>1</w:t>
      </w:r>
      <w:r w:rsidR="00153A0D">
        <w:t xml:space="preserve"> to 2</w:t>
      </w:r>
      <w:r w:rsidR="00D03486">
        <w:t>02</w:t>
      </w:r>
      <w:r w:rsidR="009C0E87">
        <w:t>3</w:t>
      </w:r>
      <w:r>
        <w:t xml:space="preserve"> are contained in Annex </w:t>
      </w:r>
      <w:r w:rsidR="00FF4942">
        <w:t>3</w:t>
      </w:r>
      <w:r>
        <w:t>.</w:t>
      </w:r>
    </w:p>
    <w:p w14:paraId="11FA1A0C" w14:textId="77777777" w:rsidR="00153A0D" w:rsidRDefault="00153A0D" w:rsidP="00931313">
      <w:r>
        <w:t>8.4</w:t>
      </w:r>
      <w:r>
        <w:tab/>
        <w:t xml:space="preserve">The Treasury Management and Prudential limits were not breached in the year </w:t>
      </w:r>
      <w:r w:rsidR="007F2D17">
        <w:t>20</w:t>
      </w:r>
      <w:r w:rsidR="009C0E87">
        <w:t>20-21</w:t>
      </w:r>
      <w:r>
        <w:t>.</w:t>
      </w:r>
    </w:p>
    <w:p w14:paraId="42C5FC2D" w14:textId="77777777" w:rsidR="00153AC7" w:rsidRDefault="00153AC7">
      <w:r>
        <w:br w:type="page"/>
      </w:r>
    </w:p>
    <w:p w14:paraId="40681E91" w14:textId="77777777" w:rsidR="00B75FCA" w:rsidRDefault="00B75FCA" w:rsidP="00153AC7">
      <w:pPr>
        <w:ind w:left="0" w:firstLine="0"/>
      </w:pPr>
    </w:p>
    <w:p w14:paraId="756980CE" w14:textId="77777777" w:rsidR="00B75FCA" w:rsidRPr="00F23AFE" w:rsidRDefault="00B75FCA" w:rsidP="00931313">
      <w:pPr>
        <w:rPr>
          <w:b/>
        </w:rPr>
      </w:pPr>
      <w:r w:rsidRPr="00F23AFE">
        <w:rPr>
          <w:b/>
        </w:rPr>
        <w:t>9.</w:t>
      </w:r>
      <w:r w:rsidRPr="00F23AFE">
        <w:rPr>
          <w:b/>
        </w:rPr>
        <w:tab/>
        <w:t>CIPFA Code of Practice: Treasury Management in the Public Services</w:t>
      </w:r>
      <w:r w:rsidR="00F23AFE" w:rsidRPr="00F23AFE">
        <w:rPr>
          <w:b/>
        </w:rPr>
        <w:t xml:space="preserve"> (the Code)</w:t>
      </w:r>
    </w:p>
    <w:p w14:paraId="6B7F60C2" w14:textId="77777777" w:rsidR="00F23AFE" w:rsidRDefault="00F23AFE" w:rsidP="00931313">
      <w:r>
        <w:t>9.1</w:t>
      </w:r>
      <w:r>
        <w:tab/>
        <w:t xml:space="preserve">The Authority has affirmed annually that it continues to adopt the Code as a part of the budget reports. This year </w:t>
      </w:r>
      <w:r w:rsidR="00F57CC3">
        <w:t xml:space="preserve">as a part of this report </w:t>
      </w:r>
      <w:r>
        <w:t xml:space="preserve">the Authority is requested to confirm formal the adoption of the Code and its relevant clauses as set out in Annex </w:t>
      </w:r>
      <w:r w:rsidR="003A25CF">
        <w:t>4</w:t>
      </w:r>
      <w:r>
        <w:t xml:space="preserve"> and in the Treasury Management Policy Statement at Annex</w:t>
      </w:r>
      <w:r w:rsidR="003A25CF">
        <w:t xml:space="preserve"> 5</w:t>
      </w:r>
      <w:r>
        <w:t>.</w:t>
      </w:r>
    </w:p>
    <w:p w14:paraId="10AFF17C" w14:textId="77777777" w:rsidR="00D359B0" w:rsidRDefault="00D359B0">
      <w:r>
        <w:br w:type="page"/>
      </w:r>
    </w:p>
    <w:p w14:paraId="48CFD107" w14:textId="77777777" w:rsidR="002E2B94" w:rsidRDefault="002E2B94" w:rsidP="00931313">
      <w:pPr>
        <w:sectPr w:rsidR="002E2B94" w:rsidSect="001E78E7">
          <w:headerReference w:type="default" r:id="rId8"/>
          <w:pgSz w:w="11906" w:h="16838"/>
          <w:pgMar w:top="1440" w:right="1440" w:bottom="1440" w:left="1440" w:header="708" w:footer="708" w:gutter="0"/>
          <w:cols w:space="708"/>
          <w:docGrid w:linePitch="360"/>
        </w:sectPr>
      </w:pPr>
    </w:p>
    <w:p w14:paraId="6792CF1C" w14:textId="77777777" w:rsidR="00F23AFE" w:rsidRDefault="00F23AFE" w:rsidP="00931313"/>
    <w:p w14:paraId="06204FA6" w14:textId="77777777" w:rsidR="00D359B0" w:rsidRPr="00097C7A" w:rsidRDefault="00097C7A" w:rsidP="00097C7A">
      <w:pPr>
        <w:jc w:val="right"/>
        <w:rPr>
          <w:b/>
        </w:rPr>
      </w:pPr>
      <w:r w:rsidRPr="00097C7A">
        <w:rPr>
          <w:b/>
        </w:rPr>
        <w:t xml:space="preserve">Annex </w:t>
      </w:r>
      <w:r w:rsidR="00620C63">
        <w:rPr>
          <w:b/>
        </w:rPr>
        <w:t>1</w:t>
      </w:r>
    </w:p>
    <w:p w14:paraId="209C4B0E" w14:textId="77777777" w:rsidR="00097C7A" w:rsidRDefault="00097C7A" w:rsidP="00F23AFE">
      <w:pPr>
        <w:rPr>
          <w:b/>
        </w:rPr>
      </w:pPr>
      <w:r w:rsidRPr="00097C7A">
        <w:rPr>
          <w:b/>
        </w:rPr>
        <w:t xml:space="preserve">Annual Investment Strategy </w:t>
      </w:r>
      <w:r w:rsidR="007F2D17">
        <w:rPr>
          <w:b/>
        </w:rPr>
        <w:t>202</w:t>
      </w:r>
      <w:r w:rsidR="009C0E87">
        <w:rPr>
          <w:b/>
        </w:rPr>
        <w:t>1</w:t>
      </w:r>
      <w:r w:rsidR="005B5E63">
        <w:rPr>
          <w:b/>
        </w:rPr>
        <w:t>/</w:t>
      </w:r>
      <w:r w:rsidR="00331C89">
        <w:rPr>
          <w:b/>
        </w:rPr>
        <w:t>2</w:t>
      </w:r>
      <w:r w:rsidR="009C0E87">
        <w:rPr>
          <w:b/>
        </w:rPr>
        <w:t>2</w:t>
      </w:r>
    </w:p>
    <w:p w14:paraId="26F810F5" w14:textId="77777777" w:rsidR="00097C7A" w:rsidRDefault="00097C7A" w:rsidP="00F23AFE">
      <w:pPr>
        <w:rPr>
          <w:b/>
        </w:rPr>
      </w:pPr>
      <w:r>
        <w:rPr>
          <w:b/>
        </w:rPr>
        <w:t>1.</w:t>
      </w:r>
      <w:r>
        <w:rPr>
          <w:b/>
        </w:rPr>
        <w:tab/>
        <w:t>Purpose</w:t>
      </w:r>
    </w:p>
    <w:p w14:paraId="15AF5BAD" w14:textId="77777777" w:rsidR="00097C7A" w:rsidRDefault="00097C7A" w:rsidP="00097C7A">
      <w:r w:rsidRPr="00097C7A">
        <w:t>1.1</w:t>
      </w:r>
      <w:r w:rsidRPr="00097C7A">
        <w:tab/>
        <w:t>Th</w:t>
      </w:r>
      <w:r>
        <w:t>is strategy is submitted to the Authority for approval in accordance with the guidance issued by the then ODPM under section 15 (1)(a) of the Local Government Act 2003.</w:t>
      </w:r>
    </w:p>
    <w:p w14:paraId="035CB911" w14:textId="77777777" w:rsidR="00097C7A" w:rsidRDefault="00097C7A" w:rsidP="00097C7A">
      <w:r>
        <w:t>1.2</w:t>
      </w:r>
      <w:r>
        <w:tab/>
        <w:t>The strategy c</w:t>
      </w:r>
      <w:r w:rsidR="007F2D17">
        <w:t>overs the period to 31 March 202</w:t>
      </w:r>
      <w:r w:rsidR="009C0E87">
        <w:t>2</w:t>
      </w:r>
      <w:r>
        <w:t xml:space="preserve"> and complements the Treasury Management Strategy </w:t>
      </w:r>
      <w:r w:rsidR="007F2D17">
        <w:t>202</w:t>
      </w:r>
      <w:r w:rsidR="009C0E87">
        <w:t>1</w:t>
      </w:r>
      <w:r w:rsidR="005B5E63">
        <w:t>/</w:t>
      </w:r>
      <w:r w:rsidR="007F2D17">
        <w:t>2</w:t>
      </w:r>
      <w:r w:rsidR="009C0E87">
        <w:t>2</w:t>
      </w:r>
      <w:r>
        <w:t xml:space="preserve"> and the Treasury Management practices that are adopted as required by the CIPFA Code of Practice: Treasury Management in the Public Services.</w:t>
      </w:r>
    </w:p>
    <w:p w14:paraId="17348404" w14:textId="77777777" w:rsidR="00097C7A" w:rsidRDefault="00097C7A" w:rsidP="00097C7A">
      <w:r>
        <w:t>1.3</w:t>
      </w:r>
      <w:r>
        <w:tab/>
        <w:t>In doing so the Annual Investment Strategy sets out:</w:t>
      </w:r>
    </w:p>
    <w:p w14:paraId="54B941D4" w14:textId="77777777" w:rsidR="00097C7A" w:rsidRDefault="00097C7A" w:rsidP="00097C7A">
      <w:pPr>
        <w:pStyle w:val="ListParagraph"/>
        <w:numPr>
          <w:ilvl w:val="0"/>
          <w:numId w:val="6"/>
        </w:numPr>
      </w:pPr>
      <w:r>
        <w:t>which investments the Authority (working with St Helens Council) may use for the prudent management of any surplus funds during the period, under the heads of Specified Investments and Non-Specifie</w:t>
      </w:r>
      <w:r w:rsidR="00381DCA">
        <w:t>d</w:t>
      </w:r>
      <w:r>
        <w:t xml:space="preserve"> Investments;</w:t>
      </w:r>
    </w:p>
    <w:p w14:paraId="621F3A94" w14:textId="77777777" w:rsidR="00097C7A" w:rsidRDefault="00097C7A" w:rsidP="00097C7A">
      <w:pPr>
        <w:pStyle w:val="ListParagraph"/>
        <w:numPr>
          <w:ilvl w:val="0"/>
          <w:numId w:val="6"/>
        </w:numPr>
      </w:pPr>
      <w:r>
        <w:t>the procedures for determining the use of each asset class;</w:t>
      </w:r>
    </w:p>
    <w:p w14:paraId="6317346D" w14:textId="77777777" w:rsidR="00097C7A" w:rsidRDefault="00097C7A" w:rsidP="00097C7A">
      <w:pPr>
        <w:pStyle w:val="ListParagraph"/>
        <w:numPr>
          <w:ilvl w:val="0"/>
          <w:numId w:val="6"/>
        </w:numPr>
      </w:pPr>
      <w:r>
        <w:t>the maximum periods for which funds may be prudently committed in each class;</w:t>
      </w:r>
    </w:p>
    <w:p w14:paraId="0C4332AF" w14:textId="77777777" w:rsidR="00097C7A" w:rsidRDefault="00097C7A" w:rsidP="00097C7A">
      <w:pPr>
        <w:pStyle w:val="ListParagraph"/>
        <w:numPr>
          <w:ilvl w:val="0"/>
          <w:numId w:val="6"/>
        </w:numPr>
      </w:pPr>
      <w:r>
        <w:t>the upper limits to be invested in each class;</w:t>
      </w:r>
    </w:p>
    <w:p w14:paraId="08FC2B6F" w14:textId="77777777" w:rsidR="00097C7A" w:rsidRDefault="00097C7A" w:rsidP="00097C7A">
      <w:pPr>
        <w:pStyle w:val="ListParagraph"/>
        <w:numPr>
          <w:ilvl w:val="0"/>
          <w:numId w:val="6"/>
        </w:numPr>
      </w:pPr>
      <w:r>
        <w:t>the extent to which prior professional advice needs to be sought both from the Authority’s Treasury Advisers and the Council Treasury Managers prior to the use of each class; and</w:t>
      </w:r>
    </w:p>
    <w:p w14:paraId="4D1AFC38" w14:textId="77777777" w:rsidR="00097C7A" w:rsidRDefault="00097C7A" w:rsidP="00097C7A">
      <w:pPr>
        <w:pStyle w:val="ListParagraph"/>
        <w:numPr>
          <w:ilvl w:val="0"/>
          <w:numId w:val="6"/>
        </w:numPr>
      </w:pPr>
      <w:r>
        <w:t>the minimum amount to be held in short term investments</w:t>
      </w:r>
    </w:p>
    <w:p w14:paraId="1F4AC158" w14:textId="77777777" w:rsidR="00097C7A" w:rsidRPr="00097C7A" w:rsidRDefault="00097C7A" w:rsidP="00097C7A">
      <w:pPr>
        <w:rPr>
          <w:b/>
        </w:rPr>
      </w:pPr>
      <w:r w:rsidRPr="00097C7A">
        <w:rPr>
          <w:b/>
        </w:rPr>
        <w:t>2.</w:t>
      </w:r>
      <w:r w:rsidRPr="00097C7A">
        <w:rPr>
          <w:b/>
        </w:rPr>
        <w:tab/>
        <w:t>Investment Objectives and Principles</w:t>
      </w:r>
    </w:p>
    <w:p w14:paraId="11E80E02" w14:textId="77777777" w:rsidR="00097C7A" w:rsidRDefault="00097C7A" w:rsidP="00097C7A">
      <w:r>
        <w:t>2.1</w:t>
      </w:r>
      <w:r>
        <w:tab/>
        <w:t>The general</w:t>
      </w:r>
      <w:r w:rsidR="00DE40BD">
        <w:t xml:space="preserve"> policy objective for the Authority is the prudent investment of its surplus funds. The Authority’s investment priorities are the security of </w:t>
      </w:r>
      <w:r w:rsidR="005B5E63">
        <w:t>Capital</w:t>
      </w:r>
      <w:r w:rsidR="00DE40BD">
        <w:t xml:space="preserve"> and the liquidity of investments.</w:t>
      </w:r>
    </w:p>
    <w:p w14:paraId="0E6E2FAE" w14:textId="77777777" w:rsidR="00DE40BD" w:rsidRDefault="00DE40BD" w:rsidP="00097C7A">
      <w:r>
        <w:t>2.2</w:t>
      </w:r>
      <w:r>
        <w:tab/>
        <w:t>The Authority will work with St Helens Council a</w:t>
      </w:r>
      <w:r w:rsidR="007F2D17">
        <w:t>nd</w:t>
      </w:r>
      <w:r>
        <w:t xml:space="preserve"> its investment managers to achieve the optimum return on its investments, commensurate with the proper levels of security</w:t>
      </w:r>
      <w:r w:rsidR="00FB59A8">
        <w:t xml:space="preserve"> and liquidity and having properly assessed all inherent risk, as detailed in its Treasury Management Practices.</w:t>
      </w:r>
    </w:p>
    <w:p w14:paraId="3427EE98" w14:textId="48680098" w:rsidR="00FB59A8" w:rsidRDefault="00FB59A8" w:rsidP="00097C7A">
      <w:r>
        <w:t>2.3</w:t>
      </w:r>
      <w:r>
        <w:tab/>
        <w:t>The Authority will work with St Helens Council to ensure that temporary borrowing will not be made whilst the Authority has investment funds available and its longer term borrowing activity will have full regard to the content of CIPFA’s Prudential Code and the Authority’s own approved Treasury Strategy. In particular</w:t>
      </w:r>
      <w:r w:rsidR="00CB264C">
        <w:t>,</w:t>
      </w:r>
      <w:r>
        <w:t xml:space="preserve"> the Authority will not engage in treasury borrowing activity that is solely for the purposes of investment or on-lending to make a return.</w:t>
      </w:r>
    </w:p>
    <w:p w14:paraId="7AF90286" w14:textId="77777777" w:rsidR="00551296" w:rsidRDefault="00551296" w:rsidP="00097C7A">
      <w:pPr>
        <w:rPr>
          <w:b/>
        </w:rPr>
      </w:pPr>
    </w:p>
    <w:p w14:paraId="3DE2CF8F" w14:textId="77777777" w:rsidR="00551296" w:rsidRDefault="00551296" w:rsidP="00097C7A">
      <w:pPr>
        <w:rPr>
          <w:b/>
        </w:rPr>
      </w:pPr>
    </w:p>
    <w:p w14:paraId="4141649C" w14:textId="77777777" w:rsidR="00FB59A8" w:rsidRPr="00FB59A8" w:rsidRDefault="00FB59A8" w:rsidP="00097C7A">
      <w:pPr>
        <w:rPr>
          <w:b/>
        </w:rPr>
      </w:pPr>
      <w:r w:rsidRPr="00FB59A8">
        <w:rPr>
          <w:b/>
        </w:rPr>
        <w:lastRenderedPageBreak/>
        <w:t>3.</w:t>
      </w:r>
      <w:r w:rsidRPr="00FB59A8">
        <w:rPr>
          <w:b/>
        </w:rPr>
        <w:tab/>
        <w:t>Specified and Non-Specified Investment Types</w:t>
      </w:r>
    </w:p>
    <w:p w14:paraId="04BD8F57" w14:textId="77777777" w:rsidR="00FB59A8" w:rsidRDefault="00FB59A8" w:rsidP="00097C7A">
      <w:r>
        <w:t>3.1</w:t>
      </w:r>
      <w:r>
        <w:tab/>
        <w:t>Investment Instruments</w:t>
      </w:r>
      <w:r w:rsidR="00AF10D5">
        <w:t xml:space="preserve"> are broadly classified within government guidance as being Specified or Non-Specified.</w:t>
      </w:r>
    </w:p>
    <w:p w14:paraId="7730A7D6" w14:textId="77777777" w:rsidR="00AF10D5" w:rsidRDefault="00AF10D5" w:rsidP="00097C7A">
      <w:r>
        <w:t>3.2</w:t>
      </w:r>
      <w:r>
        <w:tab/>
        <w:t>An investment is a Specified Investment if:</w:t>
      </w:r>
    </w:p>
    <w:p w14:paraId="20A3B587" w14:textId="77777777" w:rsidR="00AF10D5" w:rsidRDefault="00871911" w:rsidP="00871911">
      <w:pPr>
        <w:pStyle w:val="ListParagraph"/>
        <w:numPr>
          <w:ilvl w:val="0"/>
          <w:numId w:val="7"/>
        </w:numPr>
      </w:pPr>
      <w:r>
        <w:t>t</w:t>
      </w:r>
      <w:r w:rsidR="00AF10D5">
        <w:t>he investment is denominated in sterling and any payments or repayments of the investment are only in sterling</w:t>
      </w:r>
    </w:p>
    <w:p w14:paraId="4377CE64" w14:textId="66039768" w:rsidR="00AF10D5" w:rsidRDefault="00871911" w:rsidP="00871911">
      <w:pPr>
        <w:pStyle w:val="ListParagraph"/>
        <w:numPr>
          <w:ilvl w:val="0"/>
          <w:numId w:val="7"/>
        </w:numPr>
      </w:pPr>
      <w:r>
        <w:t>t</w:t>
      </w:r>
      <w:r w:rsidR="00AF10D5">
        <w:t>he investment is not a long</w:t>
      </w:r>
      <w:r w:rsidR="00CB264C">
        <w:t>-</w:t>
      </w:r>
      <w:r w:rsidR="00AF10D5">
        <w:t>term investment</w:t>
      </w:r>
    </w:p>
    <w:p w14:paraId="66359DB4" w14:textId="77777777" w:rsidR="00AF10D5" w:rsidRDefault="00871911" w:rsidP="00871911">
      <w:pPr>
        <w:pStyle w:val="ListParagraph"/>
        <w:numPr>
          <w:ilvl w:val="0"/>
          <w:numId w:val="7"/>
        </w:numPr>
      </w:pPr>
      <w:r>
        <w:t>t</w:t>
      </w:r>
      <w:r w:rsidR="00AF10D5">
        <w:t xml:space="preserve">he making of the investment is not defined as </w:t>
      </w:r>
      <w:r w:rsidR="005B5E63">
        <w:t>Capital</w:t>
      </w:r>
      <w:r w:rsidR="00AF10D5">
        <w:t xml:space="preserve"> expenditure by virtue of Regulation 25 (1)(d) of the Local Authorities (</w:t>
      </w:r>
      <w:r w:rsidR="005B5E63">
        <w:t>Capital</w:t>
      </w:r>
      <w:r w:rsidR="00AF10D5">
        <w:t xml:space="preserve"> Finance and Accounting) Regulation (England) Regulations 2003 (SI 3146 as amended); and</w:t>
      </w:r>
    </w:p>
    <w:p w14:paraId="31EFF841" w14:textId="77777777" w:rsidR="00AF10D5" w:rsidRDefault="00871911" w:rsidP="00871911">
      <w:pPr>
        <w:pStyle w:val="ListParagraph"/>
        <w:numPr>
          <w:ilvl w:val="0"/>
          <w:numId w:val="7"/>
        </w:numPr>
      </w:pPr>
      <w:r>
        <w:t>t</w:t>
      </w:r>
      <w:r w:rsidR="00AF10D5">
        <w:t>he investment is made with a body or investment scheme which has been awarded a high credit rating by a credit rating agency or is made with the UK Government, a Local Authority in England and Wales</w:t>
      </w:r>
      <w:r>
        <w:t xml:space="preserve"> (as defined in Section 23 of the Act), a Parish or Community Council.</w:t>
      </w:r>
    </w:p>
    <w:p w14:paraId="5E13A4BC" w14:textId="77777777" w:rsidR="00871911" w:rsidRDefault="00871911" w:rsidP="00097C7A">
      <w:r>
        <w:t>3.3</w:t>
      </w:r>
      <w:r>
        <w:tab/>
        <w:t>Non-Specified Investments are those investments not meeting the definition of a specified investment and, inherently, are subject to greater degrees of treasury risk. They do, however, offer some potential diversification.</w:t>
      </w:r>
      <w:r w:rsidR="00950DF6">
        <w:t xml:space="preserve"> As </w:t>
      </w:r>
      <w:r w:rsidR="004526AE">
        <w:t xml:space="preserve">a result, and as </w:t>
      </w:r>
      <w:r w:rsidR="00950DF6">
        <w:t>part of an overall strategy, a small number are identified via St Helens Council’s Treasury Managers as being potentially suitable for use, dependent upon prior consultation and advice from the Authority and the Council’s shared Treasury Management consultants.</w:t>
      </w:r>
    </w:p>
    <w:p w14:paraId="32A3B94F" w14:textId="77777777" w:rsidR="00950DF6" w:rsidRDefault="00950DF6" w:rsidP="00097C7A">
      <w:r>
        <w:t>3.4</w:t>
      </w:r>
      <w:r>
        <w:tab/>
        <w:t>In assessing the relative characteristics of each possible instrument type, the risk attached in their use and how their use would assist in the delivery / achievement of the Authority’s investment objectives and principles, Annex A has been prepared to detail those instruments that are proposed may be used as part of the investment strategy.</w:t>
      </w:r>
    </w:p>
    <w:p w14:paraId="4E08CC96" w14:textId="77777777" w:rsidR="00950DF6" w:rsidRPr="00950DF6" w:rsidRDefault="00950DF6" w:rsidP="00097C7A">
      <w:pPr>
        <w:rPr>
          <w:b/>
        </w:rPr>
      </w:pPr>
      <w:r w:rsidRPr="00950DF6">
        <w:rPr>
          <w:b/>
        </w:rPr>
        <w:t>4.</w:t>
      </w:r>
      <w:r w:rsidRPr="00950DF6">
        <w:rPr>
          <w:b/>
        </w:rPr>
        <w:tab/>
        <w:t>Credit and Counterparty Policies</w:t>
      </w:r>
    </w:p>
    <w:p w14:paraId="429D7BDF" w14:textId="77777777" w:rsidR="00950DF6" w:rsidRDefault="00950DF6" w:rsidP="00097C7A">
      <w:r>
        <w:t>4.1</w:t>
      </w:r>
      <w:r>
        <w:tab/>
        <w:t xml:space="preserve">The Authority is guided by the Council which relies on credit ratings published by FITCH, an independent rating agency to establish the </w:t>
      </w:r>
      <w:r w:rsidR="00642F94">
        <w:t>credit quality of Counterparties (issuers and issues) and investment schemes. Credit Rating lists are reviewed by the Council on a regular basis to ensure prompt action to remove institutions whose ratings fall below the Council’s threshold (which safeguards the Authority). The Council’s Treasury Management Practices document the approach to this review.</w:t>
      </w:r>
    </w:p>
    <w:p w14:paraId="2EA5EAA3" w14:textId="77777777" w:rsidR="00642F94" w:rsidRDefault="00642F94" w:rsidP="00097C7A">
      <w:r>
        <w:t>4.2</w:t>
      </w:r>
      <w:r>
        <w:tab/>
        <w:t>The Council’s Treasurer has a delegated authority from the Council to establish the criteria by which the lending list is compiled for internally managed investments. The Authority</w:t>
      </w:r>
      <w:r w:rsidR="00702D63">
        <w:t xml:space="preserve"> is consulted on the criteria for the list, which is contained in annex B.</w:t>
      </w:r>
    </w:p>
    <w:p w14:paraId="2E2733C7" w14:textId="77777777" w:rsidR="00702D63" w:rsidRPr="006B5792" w:rsidRDefault="00702D63" w:rsidP="00097C7A">
      <w:pPr>
        <w:rPr>
          <w:b/>
        </w:rPr>
      </w:pPr>
      <w:r w:rsidRPr="006B5792">
        <w:rPr>
          <w:b/>
        </w:rPr>
        <w:t>5.</w:t>
      </w:r>
      <w:r w:rsidRPr="006B5792">
        <w:rPr>
          <w:b/>
        </w:rPr>
        <w:tab/>
        <w:t>Liquidity of Investments</w:t>
      </w:r>
    </w:p>
    <w:p w14:paraId="30FA147D" w14:textId="77777777" w:rsidR="00702D63" w:rsidRDefault="006B5792" w:rsidP="00097C7A">
      <w:r>
        <w:t>5.1</w:t>
      </w:r>
      <w:r>
        <w:tab/>
        <w:t xml:space="preserve">The need to ensure liquidity by the continuous management and monitoring of the Council and the Authority’s cash transactions and resources is one of the key objectives of the </w:t>
      </w:r>
      <w:r>
        <w:lastRenderedPageBreak/>
        <w:t>Treasury function and the approach to liquidity risk management is fully documented in the Council’s Treasury Management Practices.</w:t>
      </w:r>
    </w:p>
    <w:p w14:paraId="04F0C5EC" w14:textId="77777777" w:rsidR="006B5792" w:rsidRDefault="006B5792" w:rsidP="00097C7A">
      <w:r>
        <w:t>5.2</w:t>
      </w:r>
      <w:r>
        <w:tab/>
        <w:t>The limits included in Annex A are a reflection of the overriding importance of liquidity, and in addition to those, as a general rule the Council aims to ensure that it has a minimum of 15% of the investments it makes for the Authority and the Council held with a maturity of less than one week at all times. Where cash-flow expectations dictate, this general rule will be amended accordingly.</w:t>
      </w:r>
    </w:p>
    <w:p w14:paraId="23E59F4A" w14:textId="77777777" w:rsidR="006B5792" w:rsidRPr="00F973FA" w:rsidRDefault="006B5792" w:rsidP="00097C7A">
      <w:pPr>
        <w:rPr>
          <w:b/>
        </w:rPr>
      </w:pPr>
      <w:r w:rsidRPr="00F973FA">
        <w:rPr>
          <w:b/>
        </w:rPr>
        <w:t>6.</w:t>
      </w:r>
      <w:r w:rsidRPr="00F973FA">
        <w:rPr>
          <w:b/>
        </w:rPr>
        <w:tab/>
        <w:t>Investment Strategy – Internally Managed Investments</w:t>
      </w:r>
    </w:p>
    <w:p w14:paraId="3B1CA855" w14:textId="77777777" w:rsidR="00026C98" w:rsidRDefault="006B5792" w:rsidP="00097C7A">
      <w:r>
        <w:t>6.1</w:t>
      </w:r>
      <w:r>
        <w:tab/>
        <w:t>All investments made in the duration of this strategy will comply fully with the strategy</w:t>
      </w:r>
      <w:r w:rsidR="00026C98">
        <w:t>.</w:t>
      </w:r>
    </w:p>
    <w:p w14:paraId="5572A589" w14:textId="77777777" w:rsidR="006B5792" w:rsidRDefault="00026C98" w:rsidP="00097C7A">
      <w:r>
        <w:t>6.2</w:t>
      </w:r>
      <w:r>
        <w:tab/>
        <w:t>Decisions taken within the framework, regarding the period and type of investment, will be taken having regard</w:t>
      </w:r>
      <w:r w:rsidR="00182A7C">
        <w:t xml:space="preserve"> to future cashflow requirements and likely interest rate movements. A suitable proportion of investments will be held “at call” for contingent purposes to allow for any significant investment opportunities for longer periods that may become available.</w:t>
      </w:r>
    </w:p>
    <w:p w14:paraId="2A455EC0" w14:textId="77777777" w:rsidR="00182A7C" w:rsidRDefault="00182A7C" w:rsidP="00097C7A">
      <w:r>
        <w:t>6.3</w:t>
      </w:r>
      <w:r>
        <w:tab/>
        <w:t xml:space="preserve">The relatively low base rate over recent years has led the Council’s treasury Managers to seek, where possible, to lock in to fixed rate deals at advantageous rates </w:t>
      </w:r>
      <w:proofErr w:type="gramStart"/>
      <w:r>
        <w:t>through the use of</w:t>
      </w:r>
      <w:proofErr w:type="gramEnd"/>
      <w:r>
        <w:t xml:space="preserve"> special tranche deals. Thi</w:t>
      </w:r>
      <w:r w:rsidR="00340C53">
        <w:t xml:space="preserve">s practice will continue in </w:t>
      </w:r>
      <w:r w:rsidR="007F2D17">
        <w:t>202</w:t>
      </w:r>
      <w:r w:rsidR="009C0E87">
        <w:t>1</w:t>
      </w:r>
      <w:r w:rsidR="005B5E63">
        <w:t>/</w:t>
      </w:r>
      <w:r w:rsidR="007F2D17">
        <w:t>2</w:t>
      </w:r>
      <w:r w:rsidR="009C0E87">
        <w:t>2</w:t>
      </w:r>
      <w:r>
        <w:t>, subject to:</w:t>
      </w:r>
    </w:p>
    <w:p w14:paraId="4250A765" w14:textId="77777777" w:rsidR="00182A7C" w:rsidRDefault="00182A7C" w:rsidP="00755D9A">
      <w:pPr>
        <w:pStyle w:val="ListParagraph"/>
        <w:numPr>
          <w:ilvl w:val="0"/>
          <w:numId w:val="8"/>
        </w:numPr>
      </w:pPr>
      <w:r>
        <w:t>The outlook for medium term interest rates (i.e. to avoid locking into deals whilst investment rates are at historically low levels and there is a forecast pick up in rates over the medium term);</w:t>
      </w:r>
    </w:p>
    <w:p w14:paraId="2B3297A6" w14:textId="77777777" w:rsidR="00182A7C" w:rsidRDefault="00182A7C" w:rsidP="00755D9A">
      <w:pPr>
        <w:pStyle w:val="ListParagraph"/>
        <w:numPr>
          <w:ilvl w:val="0"/>
          <w:numId w:val="8"/>
        </w:numPr>
      </w:pPr>
      <w:r>
        <w:t>The management of Counterparty risk;</w:t>
      </w:r>
    </w:p>
    <w:p w14:paraId="4EF0797F" w14:textId="77777777" w:rsidR="00182A7C" w:rsidRDefault="00182A7C" w:rsidP="00755D9A">
      <w:pPr>
        <w:pStyle w:val="ListParagraph"/>
        <w:numPr>
          <w:ilvl w:val="0"/>
          <w:numId w:val="8"/>
        </w:numPr>
      </w:pPr>
      <w:r>
        <w:t>Any opportunities to repay debt using available investments; and</w:t>
      </w:r>
    </w:p>
    <w:p w14:paraId="7A71CDD5" w14:textId="77777777" w:rsidR="00182A7C" w:rsidRDefault="00755D9A" w:rsidP="00755D9A">
      <w:pPr>
        <w:pStyle w:val="ListParagraph"/>
        <w:numPr>
          <w:ilvl w:val="0"/>
          <w:numId w:val="8"/>
        </w:numPr>
      </w:pPr>
      <w:r>
        <w:t>The Authority and the Council’s liquidity requirements</w:t>
      </w:r>
    </w:p>
    <w:p w14:paraId="7AF25644" w14:textId="77777777" w:rsidR="00755D9A" w:rsidRDefault="007B4E3D" w:rsidP="00097C7A">
      <w:r>
        <w:t>6.4</w:t>
      </w:r>
      <w:r>
        <w:tab/>
        <w:t>W</w:t>
      </w:r>
      <w:r w:rsidR="00755D9A">
        <w:t>orking on behalf of the Authority and the Council, maximum strategic use will be made of the Council’s competitive call account facilities and the AAA rated money market funds to which the Council and the Authority have access to during the period.</w:t>
      </w:r>
    </w:p>
    <w:p w14:paraId="3DE47281" w14:textId="77777777" w:rsidR="00755D9A" w:rsidRPr="00755D9A" w:rsidRDefault="00755D9A" w:rsidP="00097C7A">
      <w:pPr>
        <w:rPr>
          <w:b/>
        </w:rPr>
      </w:pPr>
      <w:r w:rsidRPr="00755D9A">
        <w:rPr>
          <w:b/>
        </w:rPr>
        <w:t>7.</w:t>
      </w:r>
      <w:r w:rsidRPr="00755D9A">
        <w:rPr>
          <w:b/>
        </w:rPr>
        <w:tab/>
        <w:t>Investment Strategy – Externally Managed Funds</w:t>
      </w:r>
    </w:p>
    <w:p w14:paraId="000985D3" w14:textId="77777777" w:rsidR="00755D9A" w:rsidRDefault="00755D9A" w:rsidP="00097C7A">
      <w:r>
        <w:t>7.1</w:t>
      </w:r>
      <w:r>
        <w:tab/>
        <w:t>Neither the Authority</w:t>
      </w:r>
      <w:r w:rsidR="00BD1E5A">
        <w:t>,</w:t>
      </w:r>
      <w:r>
        <w:t xml:space="preserve"> nor </w:t>
      </w:r>
      <w:r w:rsidR="004526AE">
        <w:t>its</w:t>
      </w:r>
      <w:r>
        <w:t xml:space="preserve"> agent the Council</w:t>
      </w:r>
      <w:r w:rsidR="007F3C88">
        <w:t>;</w:t>
      </w:r>
      <w:r>
        <w:t xml:space="preserve"> currently engage any Fund Managers to invest monies on their behalf. This has been the position since a Treasury Management review of fund manager</w:t>
      </w:r>
      <w:r w:rsidR="00972012">
        <w:t xml:space="preserve"> activity and the decision in 2007 to repatriate funds held by the then fund manager.</w:t>
      </w:r>
    </w:p>
    <w:p w14:paraId="085FA3A8" w14:textId="77777777" w:rsidR="00972012" w:rsidRDefault="00972012" w:rsidP="00097C7A">
      <w:r>
        <w:t>7.2</w:t>
      </w:r>
      <w:r>
        <w:tab/>
        <w:t xml:space="preserve">Arrangements for the re-engagement of fund managers at a future point may be considered in consultation with the Council and the appointed Treasury Management consultants. If it were to be considered that the engagement of a fund </w:t>
      </w:r>
      <w:r w:rsidR="004526AE">
        <w:t>manager may be warrant</w:t>
      </w:r>
      <w:r>
        <w:t>ed, then the Authority would work with the Council to ensure that a full tender exercise be considered and a formal agreement would be entered to determine the scope of activity.</w:t>
      </w:r>
    </w:p>
    <w:p w14:paraId="581619C1" w14:textId="77777777" w:rsidR="00551296" w:rsidRDefault="00551296" w:rsidP="00097C7A">
      <w:pPr>
        <w:rPr>
          <w:b/>
        </w:rPr>
      </w:pPr>
    </w:p>
    <w:p w14:paraId="62E6F1AC" w14:textId="77777777" w:rsidR="00551296" w:rsidRDefault="00551296" w:rsidP="00097C7A">
      <w:pPr>
        <w:rPr>
          <w:b/>
        </w:rPr>
      </w:pPr>
    </w:p>
    <w:p w14:paraId="50D24513" w14:textId="77777777" w:rsidR="00972012" w:rsidRPr="00972012" w:rsidRDefault="00972012" w:rsidP="00097C7A">
      <w:pPr>
        <w:rPr>
          <w:b/>
        </w:rPr>
      </w:pPr>
      <w:r w:rsidRPr="00972012">
        <w:rPr>
          <w:b/>
        </w:rPr>
        <w:lastRenderedPageBreak/>
        <w:t>8.</w:t>
      </w:r>
      <w:r w:rsidRPr="00972012">
        <w:rPr>
          <w:b/>
        </w:rPr>
        <w:tab/>
        <w:t>Reporting arrangements</w:t>
      </w:r>
    </w:p>
    <w:p w14:paraId="2DB0D1D4" w14:textId="637483C6" w:rsidR="00972012" w:rsidRDefault="00972012" w:rsidP="00097C7A">
      <w:r>
        <w:t>8.1</w:t>
      </w:r>
      <w:r>
        <w:tab/>
        <w:t>The Authority will receive reports on the activities planned and undertaken at least twice each year, as part of the budget setting exercise and as part of the closedown of the Authority’s year end accounts.</w:t>
      </w:r>
      <w:r w:rsidR="00FF7144">
        <w:t xml:space="preserve"> </w:t>
      </w:r>
      <w:r>
        <w:t>In addition</w:t>
      </w:r>
      <w:r w:rsidR="00CB264C">
        <w:t>,</w:t>
      </w:r>
      <w:r>
        <w:t xml:space="preserve"> if there are any</w:t>
      </w:r>
      <w:r w:rsidR="00FF7144">
        <w:t xml:space="preserve"> matters during the year that require the Authority to consider then reports will be made directly to the Authority.</w:t>
      </w:r>
    </w:p>
    <w:p w14:paraId="736E8961" w14:textId="77777777" w:rsidR="00482E01" w:rsidRDefault="00482E01" w:rsidP="00097C7A"/>
    <w:p w14:paraId="7299467F" w14:textId="77777777" w:rsidR="00551296" w:rsidRDefault="00551296">
      <w:pPr>
        <w:rPr>
          <w:b/>
        </w:rPr>
      </w:pPr>
      <w:r>
        <w:rPr>
          <w:b/>
        </w:rPr>
        <w:br w:type="page"/>
      </w:r>
    </w:p>
    <w:p w14:paraId="7D326481" w14:textId="77777777" w:rsidR="00CB588D" w:rsidRDefault="00CB588D" w:rsidP="00482E01">
      <w:pPr>
        <w:jc w:val="right"/>
        <w:rPr>
          <w:b/>
        </w:rPr>
        <w:sectPr w:rsidR="00CB588D" w:rsidSect="00F25C0C">
          <w:pgSz w:w="11906" w:h="16838"/>
          <w:pgMar w:top="1440" w:right="1440" w:bottom="1440" w:left="1440" w:header="708" w:footer="708" w:gutter="0"/>
          <w:cols w:space="708"/>
          <w:docGrid w:linePitch="360"/>
        </w:sectPr>
      </w:pPr>
    </w:p>
    <w:p w14:paraId="11469823" w14:textId="77777777" w:rsidR="00482E01" w:rsidRDefault="00482E01" w:rsidP="00482E01">
      <w:pPr>
        <w:jc w:val="right"/>
        <w:rPr>
          <w:b/>
        </w:rPr>
      </w:pPr>
      <w:r w:rsidRPr="00482E01">
        <w:rPr>
          <w:b/>
        </w:rPr>
        <w:lastRenderedPageBreak/>
        <w:t>Annex A</w:t>
      </w:r>
    </w:p>
    <w:p w14:paraId="5C472026" w14:textId="77777777" w:rsidR="00CB588D" w:rsidRDefault="00CB588D" w:rsidP="00CB588D">
      <w:pPr>
        <w:rPr>
          <w:b/>
        </w:rPr>
      </w:pPr>
      <w:r>
        <w:rPr>
          <w:b/>
        </w:rPr>
        <w:t>Outlook for interest rates</w:t>
      </w:r>
    </w:p>
    <w:p w14:paraId="2FA93CCE" w14:textId="77777777" w:rsidR="00CB588D" w:rsidRDefault="00CB588D" w:rsidP="00CB588D">
      <w:pPr>
        <w:ind w:left="0" w:firstLine="0"/>
      </w:pPr>
      <w:r w:rsidRPr="00CB588D">
        <w:t xml:space="preserve">The data below shows a variety of forecasts published by </w:t>
      </w:r>
      <w:proofErr w:type="gramStart"/>
      <w:r w:rsidRPr="00CB588D">
        <w:t>a number of</w:t>
      </w:r>
      <w:proofErr w:type="gramEnd"/>
      <w:r>
        <w:t xml:space="preserve"> Institutions. The table below provides individual forecasts including those of Link Asset Services and Capital Economics (an independent forecasting consultancy).</w:t>
      </w:r>
    </w:p>
    <w:p w14:paraId="0A8E6D00" w14:textId="77777777" w:rsidR="00CB588D" w:rsidRDefault="00CB588D" w:rsidP="00CB588D">
      <w:pPr>
        <w:ind w:left="0" w:firstLine="0"/>
      </w:pPr>
      <w:r>
        <w:t>The data shows rates at the time of the iss</w:t>
      </w:r>
      <w:r w:rsidR="007F2D17">
        <w:t>ue of the forecasts, January 202</w:t>
      </w:r>
      <w:r w:rsidR="00924C30">
        <w:t>1</w:t>
      </w:r>
      <w:r>
        <w:t>. The forecast within the strategy has been drawn from these diverse sources.</w:t>
      </w:r>
    </w:p>
    <w:p w14:paraId="14F85B64" w14:textId="77777777" w:rsidR="00CB588D" w:rsidRDefault="00CB588D" w:rsidP="00CB588D">
      <w:pPr>
        <w:ind w:left="0" w:firstLine="0"/>
      </w:pPr>
      <w:r>
        <w:t xml:space="preserve">PWLB rates and forecast shown have taken into account the </w:t>
      </w:r>
      <w:proofErr w:type="gramStart"/>
      <w:r>
        <w:t>20 basis</w:t>
      </w:r>
      <w:proofErr w:type="gramEnd"/>
      <w:r>
        <w:t xml:space="preserve"> point certainty rate reduction effective as from 1 November 2012</w:t>
      </w:r>
    </w:p>
    <w:tbl>
      <w:tblPr>
        <w:tblStyle w:val="TableGrid"/>
        <w:tblW w:w="0" w:type="auto"/>
        <w:tblInd w:w="1308" w:type="dxa"/>
        <w:tblLook w:val="04A0" w:firstRow="1" w:lastRow="0" w:firstColumn="1" w:lastColumn="0" w:noHBand="0" w:noVBand="1"/>
      </w:tblPr>
      <w:tblGrid>
        <w:gridCol w:w="1789"/>
        <w:gridCol w:w="952"/>
        <w:gridCol w:w="953"/>
        <w:gridCol w:w="953"/>
        <w:gridCol w:w="952"/>
        <w:gridCol w:w="953"/>
        <w:gridCol w:w="953"/>
        <w:gridCol w:w="952"/>
        <w:gridCol w:w="953"/>
      </w:tblGrid>
      <w:tr w:rsidR="006A2841" w:rsidRPr="0018585E" w14:paraId="3E6CA72C" w14:textId="77777777" w:rsidTr="006A2841">
        <w:tc>
          <w:tcPr>
            <w:tcW w:w="1789" w:type="dxa"/>
            <w:tcBorders>
              <w:bottom w:val="single" w:sz="4" w:space="0" w:color="auto"/>
            </w:tcBorders>
          </w:tcPr>
          <w:p w14:paraId="16D6BC42" w14:textId="77777777" w:rsidR="006A2841" w:rsidRPr="0018585E" w:rsidRDefault="006A2841" w:rsidP="00CB588D">
            <w:pPr>
              <w:ind w:left="0" w:firstLine="0"/>
              <w:rPr>
                <w:sz w:val="20"/>
                <w:szCs w:val="20"/>
              </w:rPr>
            </w:pPr>
          </w:p>
        </w:tc>
        <w:tc>
          <w:tcPr>
            <w:tcW w:w="952" w:type="dxa"/>
            <w:tcBorders>
              <w:bottom w:val="single" w:sz="4" w:space="0" w:color="auto"/>
            </w:tcBorders>
          </w:tcPr>
          <w:p w14:paraId="4700FAE8" w14:textId="77777777" w:rsidR="006A2841" w:rsidRPr="0018585E" w:rsidRDefault="006A2841" w:rsidP="0077434A">
            <w:pPr>
              <w:ind w:left="0" w:firstLine="0"/>
              <w:jc w:val="center"/>
              <w:rPr>
                <w:sz w:val="20"/>
                <w:szCs w:val="20"/>
              </w:rPr>
            </w:pPr>
            <w:r w:rsidRPr="0018585E">
              <w:rPr>
                <w:sz w:val="20"/>
                <w:szCs w:val="20"/>
              </w:rPr>
              <w:t>Mar 20</w:t>
            </w:r>
            <w:r w:rsidR="0077434A" w:rsidRPr="0018585E">
              <w:rPr>
                <w:sz w:val="20"/>
                <w:szCs w:val="20"/>
              </w:rPr>
              <w:t>2</w:t>
            </w:r>
            <w:r w:rsidR="00924C30">
              <w:rPr>
                <w:sz w:val="20"/>
                <w:szCs w:val="20"/>
              </w:rPr>
              <w:t>1</w:t>
            </w:r>
          </w:p>
        </w:tc>
        <w:tc>
          <w:tcPr>
            <w:tcW w:w="953" w:type="dxa"/>
            <w:tcBorders>
              <w:bottom w:val="single" w:sz="4" w:space="0" w:color="auto"/>
            </w:tcBorders>
          </w:tcPr>
          <w:p w14:paraId="0BA66256" w14:textId="77777777" w:rsidR="006A2841" w:rsidRPr="0018585E" w:rsidRDefault="006A2841" w:rsidP="0077434A">
            <w:pPr>
              <w:ind w:left="0" w:firstLine="0"/>
              <w:jc w:val="center"/>
              <w:rPr>
                <w:sz w:val="20"/>
                <w:szCs w:val="20"/>
              </w:rPr>
            </w:pPr>
            <w:r w:rsidRPr="0018585E">
              <w:rPr>
                <w:sz w:val="20"/>
                <w:szCs w:val="20"/>
              </w:rPr>
              <w:t>June 20</w:t>
            </w:r>
            <w:r w:rsidR="0077434A" w:rsidRPr="0018585E">
              <w:rPr>
                <w:sz w:val="20"/>
                <w:szCs w:val="20"/>
              </w:rPr>
              <w:t>2</w:t>
            </w:r>
            <w:r w:rsidR="00924C30">
              <w:rPr>
                <w:sz w:val="20"/>
                <w:szCs w:val="20"/>
              </w:rPr>
              <w:t>1</w:t>
            </w:r>
          </w:p>
        </w:tc>
        <w:tc>
          <w:tcPr>
            <w:tcW w:w="953" w:type="dxa"/>
            <w:tcBorders>
              <w:bottom w:val="single" w:sz="4" w:space="0" w:color="auto"/>
            </w:tcBorders>
          </w:tcPr>
          <w:p w14:paraId="09173EBC" w14:textId="77777777" w:rsidR="006A2841" w:rsidRPr="0018585E" w:rsidRDefault="006A2841" w:rsidP="0077434A">
            <w:pPr>
              <w:ind w:left="0" w:firstLine="0"/>
              <w:jc w:val="center"/>
              <w:rPr>
                <w:sz w:val="20"/>
                <w:szCs w:val="20"/>
              </w:rPr>
            </w:pPr>
            <w:r w:rsidRPr="0018585E">
              <w:rPr>
                <w:sz w:val="20"/>
                <w:szCs w:val="20"/>
              </w:rPr>
              <w:t>Sep 20</w:t>
            </w:r>
            <w:r w:rsidR="0077434A" w:rsidRPr="0018585E">
              <w:rPr>
                <w:sz w:val="20"/>
                <w:szCs w:val="20"/>
              </w:rPr>
              <w:t>2</w:t>
            </w:r>
            <w:r w:rsidR="00924C30">
              <w:rPr>
                <w:sz w:val="20"/>
                <w:szCs w:val="20"/>
              </w:rPr>
              <w:t>1</w:t>
            </w:r>
          </w:p>
        </w:tc>
        <w:tc>
          <w:tcPr>
            <w:tcW w:w="952" w:type="dxa"/>
            <w:tcBorders>
              <w:bottom w:val="single" w:sz="4" w:space="0" w:color="auto"/>
            </w:tcBorders>
          </w:tcPr>
          <w:p w14:paraId="5BCE5C55" w14:textId="77777777" w:rsidR="006A2841" w:rsidRPr="0018585E" w:rsidRDefault="006A2841" w:rsidP="0077434A">
            <w:pPr>
              <w:ind w:left="0" w:firstLine="0"/>
              <w:jc w:val="center"/>
              <w:rPr>
                <w:sz w:val="20"/>
                <w:szCs w:val="20"/>
              </w:rPr>
            </w:pPr>
            <w:r w:rsidRPr="0018585E">
              <w:rPr>
                <w:sz w:val="20"/>
                <w:szCs w:val="20"/>
              </w:rPr>
              <w:t>Dec 20</w:t>
            </w:r>
            <w:r w:rsidR="0077434A" w:rsidRPr="0018585E">
              <w:rPr>
                <w:sz w:val="20"/>
                <w:szCs w:val="20"/>
              </w:rPr>
              <w:t>2</w:t>
            </w:r>
            <w:r w:rsidR="00924C30">
              <w:rPr>
                <w:sz w:val="20"/>
                <w:szCs w:val="20"/>
              </w:rPr>
              <w:t>1</w:t>
            </w:r>
          </w:p>
        </w:tc>
        <w:tc>
          <w:tcPr>
            <w:tcW w:w="953" w:type="dxa"/>
            <w:tcBorders>
              <w:bottom w:val="single" w:sz="4" w:space="0" w:color="auto"/>
            </w:tcBorders>
          </w:tcPr>
          <w:p w14:paraId="16B8FEE6" w14:textId="77777777" w:rsidR="006A2841" w:rsidRPr="0018585E" w:rsidRDefault="006A2841" w:rsidP="00331C89">
            <w:pPr>
              <w:ind w:left="0" w:firstLine="0"/>
              <w:jc w:val="center"/>
              <w:rPr>
                <w:sz w:val="20"/>
                <w:szCs w:val="20"/>
              </w:rPr>
            </w:pPr>
            <w:r w:rsidRPr="0018585E">
              <w:rPr>
                <w:sz w:val="20"/>
                <w:szCs w:val="20"/>
              </w:rPr>
              <w:t>M</w:t>
            </w:r>
            <w:r w:rsidR="0077434A" w:rsidRPr="0018585E">
              <w:rPr>
                <w:sz w:val="20"/>
                <w:szCs w:val="20"/>
              </w:rPr>
              <w:t>ar 202</w:t>
            </w:r>
            <w:r w:rsidR="00924C30">
              <w:rPr>
                <w:sz w:val="20"/>
                <w:szCs w:val="20"/>
              </w:rPr>
              <w:t>2</w:t>
            </w:r>
          </w:p>
        </w:tc>
        <w:tc>
          <w:tcPr>
            <w:tcW w:w="953" w:type="dxa"/>
            <w:tcBorders>
              <w:bottom w:val="single" w:sz="4" w:space="0" w:color="auto"/>
            </w:tcBorders>
          </w:tcPr>
          <w:p w14:paraId="5217851C" w14:textId="77777777" w:rsidR="006A2841" w:rsidRPr="0018585E" w:rsidRDefault="0077434A" w:rsidP="00331C89">
            <w:pPr>
              <w:ind w:left="0" w:firstLine="0"/>
              <w:jc w:val="center"/>
              <w:rPr>
                <w:sz w:val="20"/>
                <w:szCs w:val="20"/>
              </w:rPr>
            </w:pPr>
            <w:r w:rsidRPr="0018585E">
              <w:rPr>
                <w:sz w:val="20"/>
                <w:szCs w:val="20"/>
              </w:rPr>
              <w:t>June 202</w:t>
            </w:r>
            <w:r w:rsidR="00924C30">
              <w:rPr>
                <w:sz w:val="20"/>
                <w:szCs w:val="20"/>
              </w:rPr>
              <w:t>2</w:t>
            </w:r>
          </w:p>
        </w:tc>
        <w:tc>
          <w:tcPr>
            <w:tcW w:w="952" w:type="dxa"/>
            <w:tcBorders>
              <w:bottom w:val="single" w:sz="4" w:space="0" w:color="auto"/>
            </w:tcBorders>
          </w:tcPr>
          <w:p w14:paraId="6B5A6EEB" w14:textId="77777777" w:rsidR="006A2841" w:rsidRPr="0018585E" w:rsidRDefault="0077434A" w:rsidP="00331C89">
            <w:pPr>
              <w:ind w:left="0" w:firstLine="0"/>
              <w:jc w:val="center"/>
              <w:rPr>
                <w:sz w:val="20"/>
                <w:szCs w:val="20"/>
              </w:rPr>
            </w:pPr>
            <w:r w:rsidRPr="0018585E">
              <w:rPr>
                <w:sz w:val="20"/>
                <w:szCs w:val="20"/>
              </w:rPr>
              <w:t>Sep 20</w:t>
            </w:r>
            <w:r w:rsidR="00924C30">
              <w:rPr>
                <w:sz w:val="20"/>
                <w:szCs w:val="20"/>
              </w:rPr>
              <w:t>2</w:t>
            </w:r>
            <w:r w:rsidRPr="0018585E">
              <w:rPr>
                <w:sz w:val="20"/>
                <w:szCs w:val="20"/>
              </w:rPr>
              <w:t>1</w:t>
            </w:r>
          </w:p>
        </w:tc>
        <w:tc>
          <w:tcPr>
            <w:tcW w:w="953" w:type="dxa"/>
            <w:tcBorders>
              <w:bottom w:val="single" w:sz="4" w:space="0" w:color="auto"/>
            </w:tcBorders>
          </w:tcPr>
          <w:p w14:paraId="075E0EDB" w14:textId="77777777" w:rsidR="006A2841" w:rsidRPr="0018585E" w:rsidRDefault="0077434A" w:rsidP="00331C89">
            <w:pPr>
              <w:ind w:left="0" w:firstLine="0"/>
              <w:jc w:val="center"/>
              <w:rPr>
                <w:sz w:val="20"/>
                <w:szCs w:val="20"/>
              </w:rPr>
            </w:pPr>
            <w:r w:rsidRPr="0018585E">
              <w:rPr>
                <w:sz w:val="20"/>
                <w:szCs w:val="20"/>
              </w:rPr>
              <w:t>Dec 202</w:t>
            </w:r>
            <w:r w:rsidR="00924C30">
              <w:rPr>
                <w:sz w:val="20"/>
                <w:szCs w:val="20"/>
              </w:rPr>
              <w:t>2</w:t>
            </w:r>
          </w:p>
        </w:tc>
      </w:tr>
      <w:tr w:rsidR="006A2841" w:rsidRPr="0018585E" w14:paraId="28D5EE3B" w14:textId="77777777" w:rsidTr="006A2841">
        <w:tc>
          <w:tcPr>
            <w:tcW w:w="9410" w:type="dxa"/>
            <w:gridSpan w:val="9"/>
            <w:shd w:val="pct10" w:color="auto" w:fill="auto"/>
          </w:tcPr>
          <w:p w14:paraId="695624FD" w14:textId="77777777" w:rsidR="006A2841" w:rsidRPr="0018585E" w:rsidRDefault="006A2841" w:rsidP="00DD58F0">
            <w:pPr>
              <w:ind w:left="0" w:firstLine="0"/>
              <w:rPr>
                <w:sz w:val="20"/>
                <w:szCs w:val="20"/>
              </w:rPr>
            </w:pPr>
            <w:r w:rsidRPr="0018585E">
              <w:rPr>
                <w:sz w:val="20"/>
                <w:szCs w:val="20"/>
              </w:rPr>
              <w:t>Bank Rate</w:t>
            </w:r>
          </w:p>
        </w:tc>
      </w:tr>
      <w:tr w:rsidR="006A2841" w:rsidRPr="0018585E" w14:paraId="659CA6A1" w14:textId="77777777" w:rsidTr="006A2841">
        <w:tc>
          <w:tcPr>
            <w:tcW w:w="1789" w:type="dxa"/>
          </w:tcPr>
          <w:p w14:paraId="32210BA0" w14:textId="77777777" w:rsidR="006A2841" w:rsidRPr="0018585E" w:rsidRDefault="006A2841" w:rsidP="00CB588D">
            <w:pPr>
              <w:ind w:left="0" w:firstLine="0"/>
              <w:rPr>
                <w:sz w:val="20"/>
                <w:szCs w:val="20"/>
              </w:rPr>
            </w:pPr>
            <w:r w:rsidRPr="0018585E">
              <w:rPr>
                <w:sz w:val="20"/>
                <w:szCs w:val="20"/>
              </w:rPr>
              <w:t>Link Asset Services</w:t>
            </w:r>
          </w:p>
        </w:tc>
        <w:tc>
          <w:tcPr>
            <w:tcW w:w="952" w:type="dxa"/>
          </w:tcPr>
          <w:p w14:paraId="38C7C9D3" w14:textId="77777777" w:rsidR="006A2841" w:rsidRPr="0018585E" w:rsidRDefault="006A2841" w:rsidP="00331C89">
            <w:pPr>
              <w:ind w:left="0" w:firstLine="0"/>
              <w:jc w:val="center"/>
              <w:rPr>
                <w:sz w:val="20"/>
                <w:szCs w:val="20"/>
              </w:rPr>
            </w:pPr>
            <w:r w:rsidRPr="0018585E">
              <w:rPr>
                <w:sz w:val="20"/>
                <w:szCs w:val="20"/>
              </w:rPr>
              <w:t>0.</w:t>
            </w:r>
            <w:r w:rsidR="00924C30">
              <w:rPr>
                <w:sz w:val="20"/>
                <w:szCs w:val="20"/>
              </w:rPr>
              <w:t>10</w:t>
            </w:r>
            <w:r w:rsidRPr="0018585E">
              <w:rPr>
                <w:sz w:val="20"/>
                <w:szCs w:val="20"/>
              </w:rPr>
              <w:t>%</w:t>
            </w:r>
          </w:p>
        </w:tc>
        <w:tc>
          <w:tcPr>
            <w:tcW w:w="953" w:type="dxa"/>
          </w:tcPr>
          <w:p w14:paraId="63966F2E"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Pr>
          <w:p w14:paraId="1D341526"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2" w:type="dxa"/>
          </w:tcPr>
          <w:p w14:paraId="721C19AF"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Pr>
          <w:p w14:paraId="3B124855"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Pr>
          <w:p w14:paraId="476DC529"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2" w:type="dxa"/>
          </w:tcPr>
          <w:p w14:paraId="59319F64"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Pr>
          <w:p w14:paraId="5FBCB5F0"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r>
      <w:tr w:rsidR="006A2841" w:rsidRPr="0018585E" w14:paraId="680EDB49" w14:textId="77777777" w:rsidTr="006A2841">
        <w:tc>
          <w:tcPr>
            <w:tcW w:w="1789" w:type="dxa"/>
            <w:tcBorders>
              <w:bottom w:val="single" w:sz="4" w:space="0" w:color="auto"/>
            </w:tcBorders>
          </w:tcPr>
          <w:p w14:paraId="45B164A6" w14:textId="77777777" w:rsidR="006A2841" w:rsidRPr="0018585E" w:rsidRDefault="006A2841" w:rsidP="00CB588D">
            <w:pPr>
              <w:ind w:left="0" w:firstLine="0"/>
              <w:rPr>
                <w:sz w:val="20"/>
                <w:szCs w:val="20"/>
              </w:rPr>
            </w:pPr>
            <w:r w:rsidRPr="0018585E">
              <w:rPr>
                <w:sz w:val="20"/>
                <w:szCs w:val="20"/>
              </w:rPr>
              <w:t>Capital Economics</w:t>
            </w:r>
          </w:p>
        </w:tc>
        <w:tc>
          <w:tcPr>
            <w:tcW w:w="952" w:type="dxa"/>
            <w:tcBorders>
              <w:bottom w:val="single" w:sz="4" w:space="0" w:color="auto"/>
            </w:tcBorders>
          </w:tcPr>
          <w:p w14:paraId="416F1F4D" w14:textId="77777777" w:rsidR="006A2841" w:rsidRPr="0018585E" w:rsidRDefault="00924C30" w:rsidP="00331C89">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Borders>
              <w:bottom w:val="single" w:sz="4" w:space="0" w:color="auto"/>
            </w:tcBorders>
          </w:tcPr>
          <w:p w14:paraId="5F10B57F"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Borders>
              <w:bottom w:val="single" w:sz="4" w:space="0" w:color="auto"/>
            </w:tcBorders>
          </w:tcPr>
          <w:p w14:paraId="1F0FB1E4" w14:textId="77777777" w:rsidR="006A2841" w:rsidRPr="0018585E" w:rsidRDefault="00924C30" w:rsidP="00331C89">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2" w:type="dxa"/>
            <w:tcBorders>
              <w:bottom w:val="single" w:sz="4" w:space="0" w:color="auto"/>
            </w:tcBorders>
          </w:tcPr>
          <w:p w14:paraId="382828C2"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Borders>
              <w:bottom w:val="single" w:sz="4" w:space="0" w:color="auto"/>
            </w:tcBorders>
          </w:tcPr>
          <w:p w14:paraId="77B06567"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Borders>
              <w:bottom w:val="single" w:sz="4" w:space="0" w:color="auto"/>
            </w:tcBorders>
          </w:tcPr>
          <w:p w14:paraId="452F12D5"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2" w:type="dxa"/>
            <w:tcBorders>
              <w:bottom w:val="single" w:sz="4" w:space="0" w:color="auto"/>
            </w:tcBorders>
          </w:tcPr>
          <w:p w14:paraId="39F25D4E"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c>
          <w:tcPr>
            <w:tcW w:w="953" w:type="dxa"/>
            <w:tcBorders>
              <w:bottom w:val="single" w:sz="4" w:space="0" w:color="auto"/>
            </w:tcBorders>
          </w:tcPr>
          <w:p w14:paraId="21F250B4" w14:textId="77777777" w:rsidR="006A2841" w:rsidRPr="0018585E" w:rsidRDefault="00924C30" w:rsidP="00DD58F0">
            <w:pPr>
              <w:ind w:left="0" w:firstLine="0"/>
              <w:jc w:val="center"/>
              <w:rPr>
                <w:sz w:val="20"/>
                <w:szCs w:val="20"/>
              </w:rPr>
            </w:pPr>
            <w:r w:rsidRPr="0018585E">
              <w:rPr>
                <w:sz w:val="20"/>
                <w:szCs w:val="20"/>
              </w:rPr>
              <w:t>0.</w:t>
            </w:r>
            <w:r>
              <w:rPr>
                <w:sz w:val="20"/>
                <w:szCs w:val="20"/>
              </w:rPr>
              <w:t>10</w:t>
            </w:r>
            <w:r w:rsidRPr="0018585E">
              <w:rPr>
                <w:sz w:val="20"/>
                <w:szCs w:val="20"/>
              </w:rPr>
              <w:t>%</w:t>
            </w:r>
          </w:p>
        </w:tc>
      </w:tr>
      <w:tr w:rsidR="006A2841" w:rsidRPr="0018585E" w14:paraId="0E24ACCB" w14:textId="77777777" w:rsidTr="006A2841">
        <w:tc>
          <w:tcPr>
            <w:tcW w:w="9410" w:type="dxa"/>
            <w:gridSpan w:val="9"/>
            <w:shd w:val="pct10" w:color="auto" w:fill="auto"/>
          </w:tcPr>
          <w:p w14:paraId="1CFF6DD1" w14:textId="77777777" w:rsidR="006A2841" w:rsidRPr="0018585E" w:rsidRDefault="006A2841" w:rsidP="00DD58F0">
            <w:pPr>
              <w:ind w:left="0" w:firstLine="0"/>
              <w:rPr>
                <w:sz w:val="20"/>
                <w:szCs w:val="20"/>
              </w:rPr>
            </w:pPr>
            <w:proofErr w:type="gramStart"/>
            <w:r w:rsidRPr="0018585E">
              <w:rPr>
                <w:sz w:val="20"/>
                <w:szCs w:val="20"/>
              </w:rPr>
              <w:t>5 year</w:t>
            </w:r>
            <w:proofErr w:type="gramEnd"/>
            <w:r w:rsidRPr="0018585E">
              <w:rPr>
                <w:sz w:val="20"/>
                <w:szCs w:val="20"/>
              </w:rPr>
              <w:t xml:space="preserve"> PWLB rate</w:t>
            </w:r>
          </w:p>
        </w:tc>
      </w:tr>
      <w:tr w:rsidR="006A2841" w:rsidRPr="0018585E" w14:paraId="7241835A" w14:textId="77777777" w:rsidTr="006A2841">
        <w:tc>
          <w:tcPr>
            <w:tcW w:w="1789" w:type="dxa"/>
          </w:tcPr>
          <w:p w14:paraId="30058E43" w14:textId="77777777" w:rsidR="006A2841" w:rsidRPr="0018585E" w:rsidRDefault="006A2841" w:rsidP="00FF4942">
            <w:pPr>
              <w:ind w:left="0" w:firstLine="0"/>
              <w:rPr>
                <w:sz w:val="20"/>
                <w:szCs w:val="20"/>
              </w:rPr>
            </w:pPr>
            <w:r w:rsidRPr="0018585E">
              <w:rPr>
                <w:sz w:val="20"/>
                <w:szCs w:val="20"/>
              </w:rPr>
              <w:t>Link Asset Services</w:t>
            </w:r>
          </w:p>
        </w:tc>
        <w:tc>
          <w:tcPr>
            <w:tcW w:w="952" w:type="dxa"/>
          </w:tcPr>
          <w:p w14:paraId="602F61C0" w14:textId="77777777" w:rsidR="006A2841" w:rsidRPr="0018585E" w:rsidRDefault="00924C30" w:rsidP="00DD58F0">
            <w:pPr>
              <w:ind w:left="0" w:firstLine="0"/>
              <w:jc w:val="center"/>
              <w:rPr>
                <w:sz w:val="20"/>
                <w:szCs w:val="20"/>
              </w:rPr>
            </w:pPr>
            <w:r>
              <w:rPr>
                <w:sz w:val="20"/>
                <w:szCs w:val="20"/>
              </w:rPr>
              <w:t>0.80%</w:t>
            </w:r>
          </w:p>
        </w:tc>
        <w:tc>
          <w:tcPr>
            <w:tcW w:w="953" w:type="dxa"/>
          </w:tcPr>
          <w:p w14:paraId="14C5F28C" w14:textId="77777777" w:rsidR="006A2841" w:rsidRPr="0018585E" w:rsidRDefault="00924C30" w:rsidP="00DD58F0">
            <w:pPr>
              <w:ind w:left="0" w:firstLine="0"/>
              <w:jc w:val="center"/>
              <w:rPr>
                <w:sz w:val="20"/>
                <w:szCs w:val="20"/>
              </w:rPr>
            </w:pPr>
            <w:r>
              <w:rPr>
                <w:sz w:val="20"/>
                <w:szCs w:val="20"/>
              </w:rPr>
              <w:t>0.80</w:t>
            </w:r>
            <w:r w:rsidR="006A2841" w:rsidRPr="0018585E">
              <w:rPr>
                <w:sz w:val="20"/>
                <w:szCs w:val="20"/>
              </w:rPr>
              <w:t>%</w:t>
            </w:r>
          </w:p>
        </w:tc>
        <w:tc>
          <w:tcPr>
            <w:tcW w:w="953" w:type="dxa"/>
          </w:tcPr>
          <w:p w14:paraId="08F698A3" w14:textId="77777777" w:rsidR="006A2841" w:rsidRPr="0018585E" w:rsidRDefault="006A2841" w:rsidP="00DD58F0">
            <w:pPr>
              <w:ind w:left="0" w:firstLine="0"/>
              <w:jc w:val="center"/>
              <w:rPr>
                <w:sz w:val="20"/>
                <w:szCs w:val="20"/>
              </w:rPr>
            </w:pPr>
            <w:r w:rsidRPr="0018585E">
              <w:rPr>
                <w:sz w:val="20"/>
                <w:szCs w:val="20"/>
              </w:rPr>
              <w:t>0</w:t>
            </w:r>
            <w:r w:rsidR="00924C30">
              <w:rPr>
                <w:sz w:val="20"/>
                <w:szCs w:val="20"/>
              </w:rPr>
              <w:t>.80</w:t>
            </w:r>
            <w:r w:rsidRPr="0018585E">
              <w:rPr>
                <w:sz w:val="20"/>
                <w:szCs w:val="20"/>
              </w:rPr>
              <w:t>%</w:t>
            </w:r>
          </w:p>
        </w:tc>
        <w:tc>
          <w:tcPr>
            <w:tcW w:w="952" w:type="dxa"/>
          </w:tcPr>
          <w:p w14:paraId="774A6C65" w14:textId="77777777" w:rsidR="006A2841" w:rsidRPr="0018585E" w:rsidRDefault="00924C30" w:rsidP="00DD58F0">
            <w:pPr>
              <w:ind w:left="0" w:firstLine="0"/>
              <w:jc w:val="center"/>
              <w:rPr>
                <w:sz w:val="20"/>
                <w:szCs w:val="20"/>
              </w:rPr>
            </w:pPr>
            <w:r>
              <w:rPr>
                <w:sz w:val="20"/>
                <w:szCs w:val="20"/>
              </w:rPr>
              <w:t>0.80</w:t>
            </w:r>
            <w:r w:rsidR="006A2841" w:rsidRPr="0018585E">
              <w:rPr>
                <w:sz w:val="20"/>
                <w:szCs w:val="20"/>
              </w:rPr>
              <w:t>%</w:t>
            </w:r>
          </w:p>
        </w:tc>
        <w:tc>
          <w:tcPr>
            <w:tcW w:w="953" w:type="dxa"/>
          </w:tcPr>
          <w:p w14:paraId="7D2D4DF5" w14:textId="77777777" w:rsidR="006A2841" w:rsidRPr="0018585E" w:rsidRDefault="00924C30" w:rsidP="00DD58F0">
            <w:pPr>
              <w:ind w:left="0" w:firstLine="0"/>
              <w:jc w:val="center"/>
              <w:rPr>
                <w:sz w:val="20"/>
                <w:szCs w:val="20"/>
              </w:rPr>
            </w:pPr>
            <w:r>
              <w:rPr>
                <w:sz w:val="20"/>
                <w:szCs w:val="20"/>
              </w:rPr>
              <w:t>0.90</w:t>
            </w:r>
            <w:r w:rsidR="006A2841" w:rsidRPr="0018585E">
              <w:rPr>
                <w:sz w:val="20"/>
                <w:szCs w:val="20"/>
              </w:rPr>
              <w:t>%</w:t>
            </w:r>
          </w:p>
        </w:tc>
        <w:tc>
          <w:tcPr>
            <w:tcW w:w="953" w:type="dxa"/>
          </w:tcPr>
          <w:p w14:paraId="4E14A62A" w14:textId="77777777" w:rsidR="006A2841" w:rsidRPr="0018585E" w:rsidRDefault="00924C30" w:rsidP="00DD58F0">
            <w:pPr>
              <w:ind w:left="0" w:firstLine="0"/>
              <w:jc w:val="center"/>
              <w:rPr>
                <w:sz w:val="20"/>
                <w:szCs w:val="20"/>
              </w:rPr>
            </w:pPr>
            <w:r>
              <w:rPr>
                <w:sz w:val="20"/>
                <w:szCs w:val="20"/>
              </w:rPr>
              <w:t>0.90</w:t>
            </w:r>
            <w:r w:rsidR="006A2841" w:rsidRPr="0018585E">
              <w:rPr>
                <w:sz w:val="20"/>
                <w:szCs w:val="20"/>
              </w:rPr>
              <w:t>%</w:t>
            </w:r>
          </w:p>
        </w:tc>
        <w:tc>
          <w:tcPr>
            <w:tcW w:w="952" w:type="dxa"/>
          </w:tcPr>
          <w:p w14:paraId="09378456" w14:textId="77777777" w:rsidR="006A2841" w:rsidRPr="0018585E" w:rsidRDefault="00924C30" w:rsidP="00DD58F0">
            <w:pPr>
              <w:ind w:left="0" w:firstLine="0"/>
              <w:jc w:val="center"/>
              <w:rPr>
                <w:sz w:val="20"/>
                <w:szCs w:val="20"/>
              </w:rPr>
            </w:pPr>
            <w:r>
              <w:rPr>
                <w:sz w:val="20"/>
                <w:szCs w:val="20"/>
              </w:rPr>
              <w:t>0.90</w:t>
            </w:r>
            <w:r w:rsidR="006A2841" w:rsidRPr="0018585E">
              <w:rPr>
                <w:sz w:val="20"/>
                <w:szCs w:val="20"/>
              </w:rPr>
              <w:t>%</w:t>
            </w:r>
          </w:p>
        </w:tc>
        <w:tc>
          <w:tcPr>
            <w:tcW w:w="953" w:type="dxa"/>
          </w:tcPr>
          <w:p w14:paraId="31DC7A03" w14:textId="77777777" w:rsidR="006A2841" w:rsidRPr="0018585E" w:rsidRDefault="00924C30" w:rsidP="00924C30">
            <w:pPr>
              <w:ind w:left="0" w:firstLine="0"/>
              <w:rPr>
                <w:sz w:val="20"/>
                <w:szCs w:val="20"/>
              </w:rPr>
            </w:pPr>
            <w:r>
              <w:rPr>
                <w:sz w:val="20"/>
                <w:szCs w:val="20"/>
              </w:rPr>
              <w:t xml:space="preserve"> 0.90</w:t>
            </w:r>
            <w:r w:rsidR="006A2841" w:rsidRPr="0018585E">
              <w:rPr>
                <w:sz w:val="20"/>
                <w:szCs w:val="20"/>
              </w:rPr>
              <w:t>%</w:t>
            </w:r>
          </w:p>
        </w:tc>
      </w:tr>
      <w:tr w:rsidR="006A2841" w:rsidRPr="0018585E" w14:paraId="36301192" w14:textId="77777777" w:rsidTr="006A2841">
        <w:tc>
          <w:tcPr>
            <w:tcW w:w="1789" w:type="dxa"/>
            <w:tcBorders>
              <w:bottom w:val="single" w:sz="4" w:space="0" w:color="auto"/>
            </w:tcBorders>
          </w:tcPr>
          <w:p w14:paraId="565911B9" w14:textId="77777777" w:rsidR="006A2841" w:rsidRPr="0018585E" w:rsidRDefault="006A2841" w:rsidP="00FF4942">
            <w:pPr>
              <w:ind w:left="0" w:firstLine="0"/>
              <w:rPr>
                <w:sz w:val="20"/>
                <w:szCs w:val="20"/>
              </w:rPr>
            </w:pPr>
            <w:r w:rsidRPr="0018585E">
              <w:rPr>
                <w:sz w:val="20"/>
                <w:szCs w:val="20"/>
              </w:rPr>
              <w:t>Capital Economics</w:t>
            </w:r>
          </w:p>
        </w:tc>
        <w:tc>
          <w:tcPr>
            <w:tcW w:w="952" w:type="dxa"/>
            <w:tcBorders>
              <w:bottom w:val="single" w:sz="4" w:space="0" w:color="auto"/>
            </w:tcBorders>
          </w:tcPr>
          <w:p w14:paraId="3209D421" w14:textId="77777777" w:rsidR="006A2841" w:rsidRPr="0018585E" w:rsidRDefault="00924C30" w:rsidP="00DD58F0">
            <w:pPr>
              <w:ind w:left="0" w:firstLine="0"/>
              <w:jc w:val="center"/>
              <w:rPr>
                <w:sz w:val="20"/>
                <w:szCs w:val="20"/>
              </w:rPr>
            </w:pPr>
            <w:r>
              <w:rPr>
                <w:sz w:val="20"/>
                <w:szCs w:val="20"/>
              </w:rPr>
              <w:t>0.95</w:t>
            </w:r>
            <w:r w:rsidR="006A2841" w:rsidRPr="0018585E">
              <w:rPr>
                <w:sz w:val="20"/>
                <w:szCs w:val="20"/>
              </w:rPr>
              <w:t>%</w:t>
            </w:r>
          </w:p>
        </w:tc>
        <w:tc>
          <w:tcPr>
            <w:tcW w:w="953" w:type="dxa"/>
            <w:tcBorders>
              <w:bottom w:val="single" w:sz="4" w:space="0" w:color="auto"/>
            </w:tcBorders>
          </w:tcPr>
          <w:p w14:paraId="3E1BBB5F" w14:textId="77777777" w:rsidR="006A2841" w:rsidRPr="0018585E" w:rsidRDefault="00924C30" w:rsidP="00331C89">
            <w:pPr>
              <w:ind w:left="0" w:firstLine="0"/>
              <w:jc w:val="center"/>
              <w:rPr>
                <w:sz w:val="20"/>
                <w:szCs w:val="20"/>
              </w:rPr>
            </w:pPr>
            <w:r>
              <w:rPr>
                <w:sz w:val="20"/>
                <w:szCs w:val="20"/>
              </w:rPr>
              <w:t>0.95%</w:t>
            </w:r>
          </w:p>
        </w:tc>
        <w:tc>
          <w:tcPr>
            <w:tcW w:w="953" w:type="dxa"/>
            <w:tcBorders>
              <w:bottom w:val="single" w:sz="4" w:space="0" w:color="auto"/>
            </w:tcBorders>
          </w:tcPr>
          <w:p w14:paraId="48F00CFE" w14:textId="77777777" w:rsidR="006A2841" w:rsidRPr="0018585E" w:rsidRDefault="00924C30" w:rsidP="00DD58F0">
            <w:pPr>
              <w:ind w:left="0" w:firstLine="0"/>
              <w:jc w:val="center"/>
              <w:rPr>
                <w:sz w:val="20"/>
                <w:szCs w:val="20"/>
              </w:rPr>
            </w:pPr>
            <w:r>
              <w:rPr>
                <w:sz w:val="20"/>
                <w:szCs w:val="20"/>
              </w:rPr>
              <w:t>0.95%</w:t>
            </w:r>
          </w:p>
        </w:tc>
        <w:tc>
          <w:tcPr>
            <w:tcW w:w="952" w:type="dxa"/>
            <w:tcBorders>
              <w:bottom w:val="single" w:sz="4" w:space="0" w:color="auto"/>
            </w:tcBorders>
          </w:tcPr>
          <w:p w14:paraId="3C2F522D" w14:textId="77777777" w:rsidR="006A2841" w:rsidRPr="0018585E" w:rsidRDefault="00924C30" w:rsidP="00DD58F0">
            <w:pPr>
              <w:ind w:left="0" w:firstLine="0"/>
              <w:jc w:val="center"/>
              <w:rPr>
                <w:sz w:val="20"/>
                <w:szCs w:val="20"/>
              </w:rPr>
            </w:pPr>
            <w:r>
              <w:rPr>
                <w:sz w:val="20"/>
                <w:szCs w:val="20"/>
              </w:rPr>
              <w:t>0.95%</w:t>
            </w:r>
          </w:p>
        </w:tc>
        <w:tc>
          <w:tcPr>
            <w:tcW w:w="953" w:type="dxa"/>
            <w:tcBorders>
              <w:bottom w:val="single" w:sz="4" w:space="0" w:color="auto"/>
            </w:tcBorders>
          </w:tcPr>
          <w:p w14:paraId="7E706362" w14:textId="77777777" w:rsidR="006A2841" w:rsidRPr="0018585E" w:rsidRDefault="00924C30" w:rsidP="00331C89">
            <w:pPr>
              <w:ind w:left="0" w:firstLine="0"/>
              <w:jc w:val="center"/>
              <w:rPr>
                <w:sz w:val="20"/>
                <w:szCs w:val="20"/>
              </w:rPr>
            </w:pPr>
            <w:r>
              <w:rPr>
                <w:sz w:val="20"/>
                <w:szCs w:val="20"/>
              </w:rPr>
              <w:t>0.95%</w:t>
            </w:r>
          </w:p>
        </w:tc>
        <w:tc>
          <w:tcPr>
            <w:tcW w:w="953" w:type="dxa"/>
            <w:tcBorders>
              <w:bottom w:val="single" w:sz="4" w:space="0" w:color="auto"/>
            </w:tcBorders>
          </w:tcPr>
          <w:p w14:paraId="38A19B0A" w14:textId="77777777" w:rsidR="006A2841" w:rsidRPr="0018585E" w:rsidRDefault="00924C30" w:rsidP="00331C89">
            <w:pPr>
              <w:ind w:left="0" w:firstLine="0"/>
              <w:jc w:val="center"/>
              <w:rPr>
                <w:sz w:val="20"/>
                <w:szCs w:val="20"/>
              </w:rPr>
            </w:pPr>
            <w:r>
              <w:rPr>
                <w:sz w:val="20"/>
                <w:szCs w:val="20"/>
              </w:rPr>
              <w:t>0.95%</w:t>
            </w:r>
          </w:p>
        </w:tc>
        <w:tc>
          <w:tcPr>
            <w:tcW w:w="952" w:type="dxa"/>
            <w:tcBorders>
              <w:bottom w:val="single" w:sz="4" w:space="0" w:color="auto"/>
            </w:tcBorders>
          </w:tcPr>
          <w:p w14:paraId="2AC5B2F7" w14:textId="77777777" w:rsidR="006A2841" w:rsidRPr="0018585E" w:rsidRDefault="00924C30" w:rsidP="00DD58F0">
            <w:pPr>
              <w:ind w:left="0" w:firstLine="0"/>
              <w:jc w:val="center"/>
              <w:rPr>
                <w:sz w:val="20"/>
                <w:szCs w:val="20"/>
              </w:rPr>
            </w:pPr>
            <w:r>
              <w:rPr>
                <w:sz w:val="20"/>
                <w:szCs w:val="20"/>
              </w:rPr>
              <w:t>0.95%</w:t>
            </w:r>
          </w:p>
        </w:tc>
        <w:tc>
          <w:tcPr>
            <w:tcW w:w="953" w:type="dxa"/>
            <w:tcBorders>
              <w:bottom w:val="single" w:sz="4" w:space="0" w:color="auto"/>
            </w:tcBorders>
          </w:tcPr>
          <w:p w14:paraId="7D6F6985" w14:textId="77777777" w:rsidR="006A2841" w:rsidRPr="0018585E" w:rsidRDefault="00924C30" w:rsidP="00331C89">
            <w:pPr>
              <w:ind w:left="0" w:firstLine="0"/>
              <w:jc w:val="center"/>
              <w:rPr>
                <w:sz w:val="20"/>
                <w:szCs w:val="20"/>
              </w:rPr>
            </w:pPr>
            <w:r>
              <w:rPr>
                <w:sz w:val="20"/>
                <w:szCs w:val="20"/>
              </w:rPr>
              <w:t>0.95%</w:t>
            </w:r>
          </w:p>
        </w:tc>
      </w:tr>
      <w:tr w:rsidR="006A2841" w:rsidRPr="0018585E" w14:paraId="56143003" w14:textId="77777777" w:rsidTr="006A2841">
        <w:tc>
          <w:tcPr>
            <w:tcW w:w="9410" w:type="dxa"/>
            <w:gridSpan w:val="9"/>
            <w:shd w:val="pct10" w:color="auto" w:fill="auto"/>
          </w:tcPr>
          <w:p w14:paraId="6D1EEA6C" w14:textId="77777777" w:rsidR="006A2841" w:rsidRPr="0018585E" w:rsidRDefault="006A2841" w:rsidP="00DD58F0">
            <w:pPr>
              <w:ind w:left="0" w:firstLine="0"/>
              <w:rPr>
                <w:sz w:val="20"/>
                <w:szCs w:val="20"/>
              </w:rPr>
            </w:pPr>
            <w:proofErr w:type="gramStart"/>
            <w:r w:rsidRPr="0018585E">
              <w:rPr>
                <w:sz w:val="20"/>
                <w:szCs w:val="20"/>
              </w:rPr>
              <w:t>10 year</w:t>
            </w:r>
            <w:proofErr w:type="gramEnd"/>
            <w:r w:rsidRPr="0018585E">
              <w:rPr>
                <w:sz w:val="20"/>
                <w:szCs w:val="20"/>
              </w:rPr>
              <w:t xml:space="preserve"> PWLB rate</w:t>
            </w:r>
          </w:p>
        </w:tc>
      </w:tr>
      <w:tr w:rsidR="006A2841" w:rsidRPr="0018585E" w14:paraId="5E2A1E06" w14:textId="77777777" w:rsidTr="006A2841">
        <w:tc>
          <w:tcPr>
            <w:tcW w:w="1789" w:type="dxa"/>
          </w:tcPr>
          <w:p w14:paraId="5F82C9D1" w14:textId="77777777" w:rsidR="006A2841" w:rsidRPr="0018585E" w:rsidRDefault="006A2841" w:rsidP="00FF4942">
            <w:pPr>
              <w:ind w:left="0" w:firstLine="0"/>
              <w:rPr>
                <w:sz w:val="20"/>
                <w:szCs w:val="20"/>
              </w:rPr>
            </w:pPr>
            <w:r w:rsidRPr="0018585E">
              <w:rPr>
                <w:sz w:val="20"/>
                <w:szCs w:val="20"/>
              </w:rPr>
              <w:t>Link Asset Services</w:t>
            </w:r>
          </w:p>
        </w:tc>
        <w:tc>
          <w:tcPr>
            <w:tcW w:w="952" w:type="dxa"/>
          </w:tcPr>
          <w:p w14:paraId="378531E4" w14:textId="77777777" w:rsidR="006A2841" w:rsidRPr="0018585E" w:rsidRDefault="00924C30" w:rsidP="00331C89">
            <w:pPr>
              <w:ind w:left="0" w:firstLine="0"/>
              <w:jc w:val="center"/>
              <w:rPr>
                <w:sz w:val="20"/>
                <w:szCs w:val="20"/>
              </w:rPr>
            </w:pPr>
            <w:r>
              <w:rPr>
                <w:sz w:val="20"/>
                <w:szCs w:val="20"/>
              </w:rPr>
              <w:t>1.10</w:t>
            </w:r>
            <w:r w:rsidR="006A2841" w:rsidRPr="0018585E">
              <w:rPr>
                <w:sz w:val="20"/>
                <w:szCs w:val="20"/>
              </w:rPr>
              <w:t>%</w:t>
            </w:r>
          </w:p>
        </w:tc>
        <w:tc>
          <w:tcPr>
            <w:tcW w:w="953" w:type="dxa"/>
          </w:tcPr>
          <w:p w14:paraId="0BD7BEF0" w14:textId="77777777" w:rsidR="006A2841" w:rsidRPr="0018585E" w:rsidRDefault="00924C30" w:rsidP="00331C89">
            <w:pPr>
              <w:ind w:left="0" w:firstLine="0"/>
              <w:jc w:val="center"/>
              <w:rPr>
                <w:sz w:val="20"/>
                <w:szCs w:val="20"/>
              </w:rPr>
            </w:pPr>
            <w:r>
              <w:rPr>
                <w:sz w:val="20"/>
                <w:szCs w:val="20"/>
              </w:rPr>
              <w:t>1.10%</w:t>
            </w:r>
          </w:p>
        </w:tc>
        <w:tc>
          <w:tcPr>
            <w:tcW w:w="953" w:type="dxa"/>
          </w:tcPr>
          <w:p w14:paraId="6EC4BF1F" w14:textId="77777777" w:rsidR="006A2841" w:rsidRPr="0018585E" w:rsidRDefault="00924C30" w:rsidP="00331C89">
            <w:pPr>
              <w:ind w:left="0" w:firstLine="0"/>
              <w:jc w:val="center"/>
              <w:rPr>
                <w:sz w:val="20"/>
                <w:szCs w:val="20"/>
              </w:rPr>
            </w:pPr>
            <w:r>
              <w:rPr>
                <w:sz w:val="20"/>
                <w:szCs w:val="20"/>
              </w:rPr>
              <w:t>1.10%</w:t>
            </w:r>
          </w:p>
        </w:tc>
        <w:tc>
          <w:tcPr>
            <w:tcW w:w="952" w:type="dxa"/>
          </w:tcPr>
          <w:p w14:paraId="0CE50279" w14:textId="77777777" w:rsidR="006A2841" w:rsidRPr="0018585E" w:rsidRDefault="00924C30" w:rsidP="006A2841">
            <w:pPr>
              <w:ind w:left="0" w:firstLine="0"/>
              <w:jc w:val="center"/>
              <w:rPr>
                <w:sz w:val="20"/>
                <w:szCs w:val="20"/>
              </w:rPr>
            </w:pPr>
            <w:r>
              <w:rPr>
                <w:sz w:val="20"/>
                <w:szCs w:val="20"/>
              </w:rPr>
              <w:t>1.10%</w:t>
            </w:r>
          </w:p>
        </w:tc>
        <w:tc>
          <w:tcPr>
            <w:tcW w:w="953" w:type="dxa"/>
          </w:tcPr>
          <w:p w14:paraId="489C9953" w14:textId="77777777" w:rsidR="006A2841" w:rsidRPr="0018585E" w:rsidRDefault="00924C30" w:rsidP="006A2841">
            <w:pPr>
              <w:ind w:left="0" w:firstLine="0"/>
              <w:jc w:val="center"/>
              <w:rPr>
                <w:sz w:val="20"/>
                <w:szCs w:val="20"/>
              </w:rPr>
            </w:pPr>
            <w:r>
              <w:rPr>
                <w:sz w:val="20"/>
                <w:szCs w:val="20"/>
              </w:rPr>
              <w:t>1.20%</w:t>
            </w:r>
          </w:p>
        </w:tc>
        <w:tc>
          <w:tcPr>
            <w:tcW w:w="953" w:type="dxa"/>
          </w:tcPr>
          <w:p w14:paraId="3AB2D5ED" w14:textId="77777777" w:rsidR="006A2841" w:rsidRPr="0018585E" w:rsidRDefault="00924C30" w:rsidP="006A2841">
            <w:pPr>
              <w:ind w:left="0" w:firstLine="0"/>
              <w:jc w:val="center"/>
              <w:rPr>
                <w:sz w:val="20"/>
                <w:szCs w:val="20"/>
              </w:rPr>
            </w:pPr>
            <w:r>
              <w:rPr>
                <w:sz w:val="20"/>
                <w:szCs w:val="20"/>
              </w:rPr>
              <w:t>1.20%</w:t>
            </w:r>
          </w:p>
        </w:tc>
        <w:tc>
          <w:tcPr>
            <w:tcW w:w="952" w:type="dxa"/>
          </w:tcPr>
          <w:p w14:paraId="79C5B797" w14:textId="77777777" w:rsidR="006A2841" w:rsidRPr="0018585E" w:rsidRDefault="00924C30" w:rsidP="006A2841">
            <w:pPr>
              <w:ind w:left="0" w:firstLine="0"/>
              <w:jc w:val="center"/>
              <w:rPr>
                <w:sz w:val="20"/>
                <w:szCs w:val="20"/>
              </w:rPr>
            </w:pPr>
            <w:r>
              <w:rPr>
                <w:sz w:val="20"/>
                <w:szCs w:val="20"/>
              </w:rPr>
              <w:t>1.20%</w:t>
            </w:r>
          </w:p>
        </w:tc>
        <w:tc>
          <w:tcPr>
            <w:tcW w:w="953" w:type="dxa"/>
          </w:tcPr>
          <w:p w14:paraId="31211B89" w14:textId="77777777" w:rsidR="006A2841" w:rsidRPr="0018585E" w:rsidRDefault="00924C30" w:rsidP="00DD58F0">
            <w:pPr>
              <w:ind w:left="0" w:firstLine="0"/>
              <w:jc w:val="center"/>
              <w:rPr>
                <w:sz w:val="20"/>
                <w:szCs w:val="20"/>
              </w:rPr>
            </w:pPr>
            <w:r>
              <w:rPr>
                <w:sz w:val="20"/>
                <w:szCs w:val="20"/>
              </w:rPr>
              <w:t>1.20%</w:t>
            </w:r>
          </w:p>
        </w:tc>
      </w:tr>
      <w:tr w:rsidR="006A2841" w:rsidRPr="0018585E" w14:paraId="6EF71572" w14:textId="77777777" w:rsidTr="006A2841">
        <w:tc>
          <w:tcPr>
            <w:tcW w:w="1789" w:type="dxa"/>
            <w:tcBorders>
              <w:bottom w:val="single" w:sz="4" w:space="0" w:color="auto"/>
            </w:tcBorders>
          </w:tcPr>
          <w:p w14:paraId="10CEC26B" w14:textId="77777777" w:rsidR="006A2841" w:rsidRPr="0018585E" w:rsidRDefault="006A2841" w:rsidP="00FF4942">
            <w:pPr>
              <w:ind w:left="0" w:firstLine="0"/>
              <w:rPr>
                <w:sz w:val="20"/>
                <w:szCs w:val="20"/>
              </w:rPr>
            </w:pPr>
            <w:r w:rsidRPr="0018585E">
              <w:rPr>
                <w:sz w:val="20"/>
                <w:szCs w:val="20"/>
              </w:rPr>
              <w:t>Capital Economics</w:t>
            </w:r>
          </w:p>
        </w:tc>
        <w:tc>
          <w:tcPr>
            <w:tcW w:w="952" w:type="dxa"/>
            <w:tcBorders>
              <w:bottom w:val="single" w:sz="4" w:space="0" w:color="auto"/>
            </w:tcBorders>
          </w:tcPr>
          <w:p w14:paraId="67054E79" w14:textId="77777777" w:rsidR="006A2841" w:rsidRPr="0018585E" w:rsidRDefault="00924C30" w:rsidP="00331C89">
            <w:pPr>
              <w:ind w:left="0" w:firstLine="0"/>
              <w:jc w:val="center"/>
              <w:rPr>
                <w:sz w:val="20"/>
                <w:szCs w:val="20"/>
              </w:rPr>
            </w:pPr>
            <w:r>
              <w:rPr>
                <w:sz w:val="20"/>
                <w:szCs w:val="20"/>
              </w:rPr>
              <w:t>1.30</w:t>
            </w:r>
            <w:r w:rsidR="006A2841" w:rsidRPr="0018585E">
              <w:rPr>
                <w:sz w:val="20"/>
                <w:szCs w:val="20"/>
              </w:rPr>
              <w:t>%</w:t>
            </w:r>
          </w:p>
        </w:tc>
        <w:tc>
          <w:tcPr>
            <w:tcW w:w="953" w:type="dxa"/>
            <w:tcBorders>
              <w:bottom w:val="single" w:sz="4" w:space="0" w:color="auto"/>
            </w:tcBorders>
          </w:tcPr>
          <w:p w14:paraId="51A05C5C" w14:textId="77777777" w:rsidR="006A2841" w:rsidRPr="0018585E" w:rsidRDefault="00924C30" w:rsidP="00331C89">
            <w:pPr>
              <w:ind w:left="0" w:firstLine="0"/>
              <w:jc w:val="center"/>
              <w:rPr>
                <w:sz w:val="20"/>
                <w:szCs w:val="20"/>
              </w:rPr>
            </w:pPr>
            <w:r>
              <w:rPr>
                <w:sz w:val="20"/>
                <w:szCs w:val="20"/>
              </w:rPr>
              <w:t>1.30%</w:t>
            </w:r>
          </w:p>
        </w:tc>
        <w:tc>
          <w:tcPr>
            <w:tcW w:w="953" w:type="dxa"/>
            <w:tcBorders>
              <w:bottom w:val="single" w:sz="4" w:space="0" w:color="auto"/>
            </w:tcBorders>
          </w:tcPr>
          <w:p w14:paraId="10041E8D" w14:textId="77777777" w:rsidR="006A2841" w:rsidRPr="0018585E" w:rsidRDefault="00924C30" w:rsidP="00DD58F0">
            <w:pPr>
              <w:ind w:left="0" w:firstLine="0"/>
              <w:jc w:val="center"/>
              <w:rPr>
                <w:sz w:val="20"/>
                <w:szCs w:val="20"/>
              </w:rPr>
            </w:pPr>
            <w:r>
              <w:rPr>
                <w:sz w:val="20"/>
                <w:szCs w:val="20"/>
              </w:rPr>
              <w:t>1.30%</w:t>
            </w:r>
          </w:p>
        </w:tc>
        <w:tc>
          <w:tcPr>
            <w:tcW w:w="952" w:type="dxa"/>
            <w:tcBorders>
              <w:bottom w:val="single" w:sz="4" w:space="0" w:color="auto"/>
            </w:tcBorders>
          </w:tcPr>
          <w:p w14:paraId="0914B4A2" w14:textId="77777777" w:rsidR="006A2841" w:rsidRPr="0018585E" w:rsidRDefault="00924C30" w:rsidP="006A2841">
            <w:pPr>
              <w:ind w:left="0" w:firstLine="0"/>
              <w:jc w:val="center"/>
              <w:rPr>
                <w:sz w:val="20"/>
                <w:szCs w:val="20"/>
              </w:rPr>
            </w:pPr>
            <w:r>
              <w:rPr>
                <w:sz w:val="20"/>
                <w:szCs w:val="20"/>
              </w:rPr>
              <w:t>1.30%</w:t>
            </w:r>
          </w:p>
        </w:tc>
        <w:tc>
          <w:tcPr>
            <w:tcW w:w="953" w:type="dxa"/>
            <w:tcBorders>
              <w:bottom w:val="single" w:sz="4" w:space="0" w:color="auto"/>
            </w:tcBorders>
          </w:tcPr>
          <w:p w14:paraId="7A62612C" w14:textId="77777777" w:rsidR="006A2841" w:rsidRPr="0018585E" w:rsidRDefault="00924C30" w:rsidP="006A2841">
            <w:pPr>
              <w:ind w:left="0" w:firstLine="0"/>
              <w:jc w:val="center"/>
              <w:rPr>
                <w:sz w:val="20"/>
                <w:szCs w:val="20"/>
              </w:rPr>
            </w:pPr>
            <w:r>
              <w:rPr>
                <w:sz w:val="20"/>
                <w:szCs w:val="20"/>
              </w:rPr>
              <w:t>1.30%</w:t>
            </w:r>
          </w:p>
        </w:tc>
        <w:tc>
          <w:tcPr>
            <w:tcW w:w="953" w:type="dxa"/>
            <w:tcBorders>
              <w:bottom w:val="single" w:sz="4" w:space="0" w:color="auto"/>
            </w:tcBorders>
          </w:tcPr>
          <w:p w14:paraId="2B36C946" w14:textId="77777777" w:rsidR="006A2841" w:rsidRPr="0018585E" w:rsidRDefault="00924C30" w:rsidP="006A2841">
            <w:pPr>
              <w:ind w:left="0" w:firstLine="0"/>
              <w:jc w:val="center"/>
              <w:rPr>
                <w:sz w:val="20"/>
                <w:szCs w:val="20"/>
              </w:rPr>
            </w:pPr>
            <w:r>
              <w:rPr>
                <w:sz w:val="20"/>
                <w:szCs w:val="20"/>
              </w:rPr>
              <w:t>1.30%</w:t>
            </w:r>
          </w:p>
        </w:tc>
        <w:tc>
          <w:tcPr>
            <w:tcW w:w="952" w:type="dxa"/>
            <w:tcBorders>
              <w:bottom w:val="single" w:sz="4" w:space="0" w:color="auto"/>
            </w:tcBorders>
          </w:tcPr>
          <w:p w14:paraId="6FD458AB" w14:textId="77777777" w:rsidR="006A2841" w:rsidRPr="0018585E" w:rsidRDefault="00924C30" w:rsidP="006A2841">
            <w:pPr>
              <w:ind w:left="0" w:firstLine="0"/>
              <w:jc w:val="center"/>
              <w:rPr>
                <w:sz w:val="20"/>
                <w:szCs w:val="20"/>
              </w:rPr>
            </w:pPr>
            <w:r>
              <w:rPr>
                <w:sz w:val="20"/>
                <w:szCs w:val="20"/>
              </w:rPr>
              <w:t>1.30%</w:t>
            </w:r>
          </w:p>
        </w:tc>
        <w:tc>
          <w:tcPr>
            <w:tcW w:w="953" w:type="dxa"/>
            <w:tcBorders>
              <w:bottom w:val="single" w:sz="4" w:space="0" w:color="auto"/>
            </w:tcBorders>
          </w:tcPr>
          <w:p w14:paraId="405A9AF2" w14:textId="77777777" w:rsidR="006A2841" w:rsidRPr="0018585E" w:rsidRDefault="00924C30" w:rsidP="006A2841">
            <w:pPr>
              <w:ind w:left="0" w:firstLine="0"/>
              <w:jc w:val="center"/>
              <w:rPr>
                <w:sz w:val="20"/>
                <w:szCs w:val="20"/>
              </w:rPr>
            </w:pPr>
            <w:r>
              <w:rPr>
                <w:sz w:val="20"/>
                <w:szCs w:val="20"/>
              </w:rPr>
              <w:t>1.30%</w:t>
            </w:r>
          </w:p>
        </w:tc>
      </w:tr>
      <w:tr w:rsidR="006A2841" w:rsidRPr="0018585E" w14:paraId="1F57D840" w14:textId="77777777" w:rsidTr="006A2841">
        <w:tc>
          <w:tcPr>
            <w:tcW w:w="9410" w:type="dxa"/>
            <w:gridSpan w:val="9"/>
            <w:shd w:val="pct10" w:color="auto" w:fill="auto"/>
          </w:tcPr>
          <w:p w14:paraId="17FEA6F6" w14:textId="77777777" w:rsidR="006A2841" w:rsidRPr="0018585E" w:rsidRDefault="006A2841" w:rsidP="00DD58F0">
            <w:pPr>
              <w:ind w:left="0" w:firstLine="0"/>
              <w:rPr>
                <w:sz w:val="20"/>
                <w:szCs w:val="20"/>
              </w:rPr>
            </w:pPr>
            <w:proofErr w:type="gramStart"/>
            <w:r w:rsidRPr="0018585E">
              <w:rPr>
                <w:sz w:val="20"/>
                <w:szCs w:val="20"/>
              </w:rPr>
              <w:t>25 year</w:t>
            </w:r>
            <w:proofErr w:type="gramEnd"/>
            <w:r w:rsidRPr="0018585E">
              <w:rPr>
                <w:sz w:val="20"/>
                <w:szCs w:val="20"/>
              </w:rPr>
              <w:t xml:space="preserve"> PWLB rate</w:t>
            </w:r>
          </w:p>
        </w:tc>
      </w:tr>
      <w:tr w:rsidR="006A2841" w:rsidRPr="0018585E" w14:paraId="5ECE20E3" w14:textId="77777777" w:rsidTr="006A2841">
        <w:tc>
          <w:tcPr>
            <w:tcW w:w="1789" w:type="dxa"/>
          </w:tcPr>
          <w:p w14:paraId="080FE186" w14:textId="77777777" w:rsidR="006A2841" w:rsidRPr="0018585E" w:rsidRDefault="006A2841" w:rsidP="00FF4942">
            <w:pPr>
              <w:ind w:left="0" w:firstLine="0"/>
              <w:rPr>
                <w:sz w:val="20"/>
                <w:szCs w:val="20"/>
              </w:rPr>
            </w:pPr>
            <w:r w:rsidRPr="0018585E">
              <w:rPr>
                <w:sz w:val="20"/>
                <w:szCs w:val="20"/>
              </w:rPr>
              <w:t>Link Asset Services</w:t>
            </w:r>
          </w:p>
        </w:tc>
        <w:tc>
          <w:tcPr>
            <w:tcW w:w="952" w:type="dxa"/>
          </w:tcPr>
          <w:p w14:paraId="644B9616" w14:textId="77777777" w:rsidR="006A2841" w:rsidRPr="0018585E" w:rsidRDefault="00924C30" w:rsidP="00DD58F0">
            <w:pPr>
              <w:ind w:left="0" w:firstLine="0"/>
              <w:jc w:val="center"/>
              <w:rPr>
                <w:sz w:val="20"/>
                <w:szCs w:val="20"/>
              </w:rPr>
            </w:pPr>
            <w:r>
              <w:rPr>
                <w:sz w:val="20"/>
                <w:szCs w:val="20"/>
              </w:rPr>
              <w:t>1.50%</w:t>
            </w:r>
          </w:p>
        </w:tc>
        <w:tc>
          <w:tcPr>
            <w:tcW w:w="953" w:type="dxa"/>
          </w:tcPr>
          <w:p w14:paraId="42C9C3FA" w14:textId="77777777" w:rsidR="006A2841" w:rsidRPr="0018585E" w:rsidRDefault="00924C30" w:rsidP="00DD58F0">
            <w:pPr>
              <w:ind w:left="0" w:firstLine="0"/>
              <w:jc w:val="center"/>
              <w:rPr>
                <w:sz w:val="20"/>
                <w:szCs w:val="20"/>
              </w:rPr>
            </w:pPr>
            <w:r>
              <w:rPr>
                <w:sz w:val="20"/>
                <w:szCs w:val="20"/>
              </w:rPr>
              <w:t>1.60%</w:t>
            </w:r>
          </w:p>
        </w:tc>
        <w:tc>
          <w:tcPr>
            <w:tcW w:w="953" w:type="dxa"/>
          </w:tcPr>
          <w:p w14:paraId="51701C92" w14:textId="77777777" w:rsidR="006A2841" w:rsidRPr="0018585E" w:rsidRDefault="00924C30" w:rsidP="00DD58F0">
            <w:pPr>
              <w:ind w:left="0" w:firstLine="0"/>
              <w:jc w:val="center"/>
              <w:rPr>
                <w:sz w:val="20"/>
                <w:szCs w:val="20"/>
              </w:rPr>
            </w:pPr>
            <w:r>
              <w:rPr>
                <w:sz w:val="20"/>
                <w:szCs w:val="20"/>
              </w:rPr>
              <w:t>1.60%</w:t>
            </w:r>
          </w:p>
        </w:tc>
        <w:tc>
          <w:tcPr>
            <w:tcW w:w="952" w:type="dxa"/>
          </w:tcPr>
          <w:p w14:paraId="5504E335" w14:textId="77777777" w:rsidR="006A2841" w:rsidRPr="0018585E" w:rsidRDefault="00924C30" w:rsidP="00DD58F0">
            <w:pPr>
              <w:ind w:left="0" w:firstLine="0"/>
              <w:jc w:val="center"/>
              <w:rPr>
                <w:sz w:val="20"/>
                <w:szCs w:val="20"/>
              </w:rPr>
            </w:pPr>
            <w:r>
              <w:rPr>
                <w:sz w:val="20"/>
                <w:szCs w:val="20"/>
              </w:rPr>
              <w:t>1.60%</w:t>
            </w:r>
          </w:p>
        </w:tc>
        <w:tc>
          <w:tcPr>
            <w:tcW w:w="953" w:type="dxa"/>
          </w:tcPr>
          <w:p w14:paraId="378D3DBF" w14:textId="77777777" w:rsidR="006A2841" w:rsidRPr="0018585E" w:rsidRDefault="00924C30" w:rsidP="00DD58F0">
            <w:pPr>
              <w:ind w:left="0" w:firstLine="0"/>
              <w:jc w:val="center"/>
              <w:rPr>
                <w:sz w:val="20"/>
                <w:szCs w:val="20"/>
              </w:rPr>
            </w:pPr>
            <w:r>
              <w:rPr>
                <w:sz w:val="20"/>
                <w:szCs w:val="20"/>
              </w:rPr>
              <w:t>1.60%</w:t>
            </w:r>
          </w:p>
        </w:tc>
        <w:tc>
          <w:tcPr>
            <w:tcW w:w="953" w:type="dxa"/>
          </w:tcPr>
          <w:p w14:paraId="4086ABE4" w14:textId="77777777" w:rsidR="006A2841" w:rsidRPr="0018585E" w:rsidRDefault="00924C30" w:rsidP="00DD58F0">
            <w:pPr>
              <w:ind w:left="0" w:firstLine="0"/>
              <w:jc w:val="center"/>
              <w:rPr>
                <w:sz w:val="20"/>
                <w:szCs w:val="20"/>
              </w:rPr>
            </w:pPr>
            <w:r>
              <w:rPr>
                <w:sz w:val="20"/>
                <w:szCs w:val="20"/>
              </w:rPr>
              <w:t>1.70%</w:t>
            </w:r>
          </w:p>
        </w:tc>
        <w:tc>
          <w:tcPr>
            <w:tcW w:w="952" w:type="dxa"/>
          </w:tcPr>
          <w:p w14:paraId="097D2C10" w14:textId="77777777" w:rsidR="006A2841" w:rsidRPr="0018585E" w:rsidRDefault="00924C30" w:rsidP="006A2841">
            <w:pPr>
              <w:ind w:left="0" w:firstLine="0"/>
              <w:jc w:val="center"/>
              <w:rPr>
                <w:sz w:val="20"/>
                <w:szCs w:val="20"/>
              </w:rPr>
            </w:pPr>
            <w:r>
              <w:rPr>
                <w:sz w:val="20"/>
                <w:szCs w:val="20"/>
              </w:rPr>
              <w:t>1.70%</w:t>
            </w:r>
          </w:p>
        </w:tc>
        <w:tc>
          <w:tcPr>
            <w:tcW w:w="953" w:type="dxa"/>
          </w:tcPr>
          <w:p w14:paraId="22101A50" w14:textId="77777777" w:rsidR="006A2841" w:rsidRPr="0018585E" w:rsidRDefault="00924C30" w:rsidP="006A2841">
            <w:pPr>
              <w:ind w:left="0" w:firstLine="0"/>
              <w:jc w:val="center"/>
              <w:rPr>
                <w:sz w:val="20"/>
                <w:szCs w:val="20"/>
              </w:rPr>
            </w:pPr>
            <w:r>
              <w:rPr>
                <w:sz w:val="20"/>
                <w:szCs w:val="20"/>
              </w:rPr>
              <w:t>1.70%</w:t>
            </w:r>
          </w:p>
        </w:tc>
      </w:tr>
      <w:tr w:rsidR="006A2841" w:rsidRPr="0018585E" w14:paraId="36E9FC5A" w14:textId="77777777" w:rsidTr="006A2841">
        <w:tc>
          <w:tcPr>
            <w:tcW w:w="1789" w:type="dxa"/>
            <w:tcBorders>
              <w:bottom w:val="single" w:sz="4" w:space="0" w:color="auto"/>
            </w:tcBorders>
          </w:tcPr>
          <w:p w14:paraId="24D09CA7" w14:textId="77777777" w:rsidR="006A2841" w:rsidRPr="0018585E" w:rsidRDefault="006A2841" w:rsidP="00FF4942">
            <w:pPr>
              <w:ind w:left="0" w:firstLine="0"/>
              <w:rPr>
                <w:sz w:val="20"/>
                <w:szCs w:val="20"/>
              </w:rPr>
            </w:pPr>
            <w:r w:rsidRPr="0018585E">
              <w:rPr>
                <w:sz w:val="20"/>
                <w:szCs w:val="20"/>
              </w:rPr>
              <w:t>Capital Economics</w:t>
            </w:r>
          </w:p>
        </w:tc>
        <w:tc>
          <w:tcPr>
            <w:tcW w:w="952" w:type="dxa"/>
            <w:tcBorders>
              <w:bottom w:val="single" w:sz="4" w:space="0" w:color="auto"/>
            </w:tcBorders>
          </w:tcPr>
          <w:p w14:paraId="721673A1" w14:textId="77777777" w:rsidR="006A2841" w:rsidRPr="0018585E" w:rsidRDefault="00377B10" w:rsidP="00DD58F0">
            <w:pPr>
              <w:ind w:left="0" w:firstLine="0"/>
              <w:jc w:val="center"/>
              <w:rPr>
                <w:sz w:val="20"/>
                <w:szCs w:val="20"/>
              </w:rPr>
            </w:pPr>
            <w:r>
              <w:rPr>
                <w:sz w:val="20"/>
                <w:szCs w:val="20"/>
              </w:rPr>
              <w:t>1.80%</w:t>
            </w:r>
          </w:p>
        </w:tc>
        <w:tc>
          <w:tcPr>
            <w:tcW w:w="953" w:type="dxa"/>
            <w:tcBorders>
              <w:bottom w:val="single" w:sz="4" w:space="0" w:color="auto"/>
            </w:tcBorders>
          </w:tcPr>
          <w:p w14:paraId="625ED3D5" w14:textId="77777777" w:rsidR="006A2841" w:rsidRPr="0018585E" w:rsidRDefault="00377B10" w:rsidP="006A2841">
            <w:pPr>
              <w:ind w:left="0" w:firstLine="0"/>
              <w:jc w:val="center"/>
              <w:rPr>
                <w:sz w:val="20"/>
                <w:szCs w:val="20"/>
              </w:rPr>
            </w:pPr>
            <w:r>
              <w:rPr>
                <w:sz w:val="20"/>
                <w:szCs w:val="20"/>
              </w:rPr>
              <w:t>1.80%</w:t>
            </w:r>
          </w:p>
        </w:tc>
        <w:tc>
          <w:tcPr>
            <w:tcW w:w="953" w:type="dxa"/>
            <w:tcBorders>
              <w:bottom w:val="single" w:sz="4" w:space="0" w:color="auto"/>
            </w:tcBorders>
          </w:tcPr>
          <w:p w14:paraId="6AF18564" w14:textId="77777777" w:rsidR="006A2841" w:rsidRPr="0018585E" w:rsidRDefault="00377B10" w:rsidP="006A2841">
            <w:pPr>
              <w:ind w:left="0" w:firstLine="0"/>
              <w:jc w:val="center"/>
              <w:rPr>
                <w:sz w:val="20"/>
                <w:szCs w:val="20"/>
              </w:rPr>
            </w:pPr>
            <w:r>
              <w:rPr>
                <w:sz w:val="20"/>
                <w:szCs w:val="20"/>
              </w:rPr>
              <w:t>1.80%</w:t>
            </w:r>
          </w:p>
        </w:tc>
        <w:tc>
          <w:tcPr>
            <w:tcW w:w="952" w:type="dxa"/>
            <w:tcBorders>
              <w:bottom w:val="single" w:sz="4" w:space="0" w:color="auto"/>
            </w:tcBorders>
          </w:tcPr>
          <w:p w14:paraId="4E974690" w14:textId="77777777" w:rsidR="006A2841" w:rsidRPr="0018585E" w:rsidRDefault="00377B10" w:rsidP="00DD58F0">
            <w:pPr>
              <w:ind w:left="0" w:firstLine="0"/>
              <w:jc w:val="center"/>
              <w:rPr>
                <w:sz w:val="20"/>
                <w:szCs w:val="20"/>
              </w:rPr>
            </w:pPr>
            <w:r>
              <w:rPr>
                <w:sz w:val="20"/>
                <w:szCs w:val="20"/>
              </w:rPr>
              <w:t>1.80%</w:t>
            </w:r>
          </w:p>
        </w:tc>
        <w:tc>
          <w:tcPr>
            <w:tcW w:w="953" w:type="dxa"/>
            <w:tcBorders>
              <w:bottom w:val="single" w:sz="4" w:space="0" w:color="auto"/>
            </w:tcBorders>
          </w:tcPr>
          <w:p w14:paraId="1C7AD842" w14:textId="77777777" w:rsidR="006A2841" w:rsidRPr="0018585E" w:rsidRDefault="00377B10" w:rsidP="00DD58F0">
            <w:pPr>
              <w:ind w:left="0" w:firstLine="0"/>
              <w:jc w:val="center"/>
              <w:rPr>
                <w:sz w:val="20"/>
                <w:szCs w:val="20"/>
              </w:rPr>
            </w:pPr>
            <w:r>
              <w:rPr>
                <w:sz w:val="20"/>
                <w:szCs w:val="20"/>
              </w:rPr>
              <w:t>1.80%</w:t>
            </w:r>
          </w:p>
        </w:tc>
        <w:tc>
          <w:tcPr>
            <w:tcW w:w="953" w:type="dxa"/>
            <w:tcBorders>
              <w:bottom w:val="single" w:sz="4" w:space="0" w:color="auto"/>
            </w:tcBorders>
          </w:tcPr>
          <w:p w14:paraId="2FC71C91" w14:textId="77777777" w:rsidR="006A2841" w:rsidRPr="0018585E" w:rsidRDefault="00377B10" w:rsidP="00DD58F0">
            <w:pPr>
              <w:ind w:left="0" w:firstLine="0"/>
              <w:jc w:val="center"/>
              <w:rPr>
                <w:sz w:val="20"/>
                <w:szCs w:val="20"/>
              </w:rPr>
            </w:pPr>
            <w:r>
              <w:rPr>
                <w:sz w:val="20"/>
                <w:szCs w:val="20"/>
              </w:rPr>
              <w:t>1.80%</w:t>
            </w:r>
          </w:p>
        </w:tc>
        <w:tc>
          <w:tcPr>
            <w:tcW w:w="952" w:type="dxa"/>
            <w:tcBorders>
              <w:bottom w:val="single" w:sz="4" w:space="0" w:color="auto"/>
            </w:tcBorders>
          </w:tcPr>
          <w:p w14:paraId="049FB02F" w14:textId="77777777" w:rsidR="006A2841" w:rsidRPr="0018585E" w:rsidRDefault="00377B10" w:rsidP="006A2841">
            <w:pPr>
              <w:ind w:left="0" w:firstLine="0"/>
              <w:jc w:val="center"/>
              <w:rPr>
                <w:sz w:val="20"/>
                <w:szCs w:val="20"/>
              </w:rPr>
            </w:pPr>
            <w:r>
              <w:rPr>
                <w:sz w:val="20"/>
                <w:szCs w:val="20"/>
              </w:rPr>
              <w:t>1.80%</w:t>
            </w:r>
          </w:p>
        </w:tc>
        <w:tc>
          <w:tcPr>
            <w:tcW w:w="953" w:type="dxa"/>
            <w:tcBorders>
              <w:bottom w:val="single" w:sz="4" w:space="0" w:color="auto"/>
            </w:tcBorders>
          </w:tcPr>
          <w:p w14:paraId="7D36B5D1" w14:textId="77777777" w:rsidR="006A2841" w:rsidRPr="0018585E" w:rsidRDefault="00377B10" w:rsidP="006A2841">
            <w:pPr>
              <w:ind w:left="0" w:firstLine="0"/>
              <w:jc w:val="center"/>
              <w:rPr>
                <w:sz w:val="20"/>
                <w:szCs w:val="20"/>
              </w:rPr>
            </w:pPr>
            <w:r>
              <w:rPr>
                <w:sz w:val="20"/>
                <w:szCs w:val="20"/>
              </w:rPr>
              <w:t>1.80%</w:t>
            </w:r>
          </w:p>
        </w:tc>
      </w:tr>
      <w:tr w:rsidR="006A2841" w:rsidRPr="0018585E" w14:paraId="3AC10FE5" w14:textId="77777777" w:rsidTr="006A2841">
        <w:tc>
          <w:tcPr>
            <w:tcW w:w="9410" w:type="dxa"/>
            <w:gridSpan w:val="9"/>
            <w:shd w:val="pct10" w:color="auto" w:fill="auto"/>
          </w:tcPr>
          <w:p w14:paraId="4982D20D" w14:textId="77777777" w:rsidR="006A2841" w:rsidRPr="0018585E" w:rsidRDefault="006A2841" w:rsidP="00DD58F0">
            <w:pPr>
              <w:ind w:left="0" w:firstLine="0"/>
              <w:rPr>
                <w:sz w:val="20"/>
                <w:szCs w:val="20"/>
              </w:rPr>
            </w:pPr>
            <w:proofErr w:type="gramStart"/>
            <w:r w:rsidRPr="0018585E">
              <w:rPr>
                <w:sz w:val="20"/>
                <w:szCs w:val="20"/>
              </w:rPr>
              <w:t>50 year</w:t>
            </w:r>
            <w:proofErr w:type="gramEnd"/>
            <w:r w:rsidRPr="0018585E">
              <w:rPr>
                <w:sz w:val="20"/>
                <w:szCs w:val="20"/>
              </w:rPr>
              <w:t xml:space="preserve"> PWLB rate</w:t>
            </w:r>
          </w:p>
        </w:tc>
      </w:tr>
      <w:tr w:rsidR="006A2841" w:rsidRPr="0018585E" w14:paraId="612CBFBE" w14:textId="77777777" w:rsidTr="006A2841">
        <w:tc>
          <w:tcPr>
            <w:tcW w:w="1789" w:type="dxa"/>
          </w:tcPr>
          <w:p w14:paraId="1B8B8F7F" w14:textId="77777777" w:rsidR="006A2841" w:rsidRPr="0018585E" w:rsidRDefault="006A2841" w:rsidP="00FF4942">
            <w:pPr>
              <w:ind w:left="0" w:firstLine="0"/>
              <w:rPr>
                <w:sz w:val="20"/>
                <w:szCs w:val="20"/>
              </w:rPr>
            </w:pPr>
            <w:r w:rsidRPr="0018585E">
              <w:rPr>
                <w:sz w:val="20"/>
                <w:szCs w:val="20"/>
              </w:rPr>
              <w:t>Link Asset Services</w:t>
            </w:r>
          </w:p>
        </w:tc>
        <w:tc>
          <w:tcPr>
            <w:tcW w:w="952" w:type="dxa"/>
          </w:tcPr>
          <w:p w14:paraId="540CC3AB" w14:textId="77777777" w:rsidR="006A2841" w:rsidRPr="0018585E" w:rsidRDefault="00377B10" w:rsidP="006A2841">
            <w:pPr>
              <w:ind w:left="0" w:firstLine="0"/>
              <w:jc w:val="center"/>
              <w:rPr>
                <w:sz w:val="20"/>
                <w:szCs w:val="20"/>
              </w:rPr>
            </w:pPr>
            <w:r>
              <w:rPr>
                <w:sz w:val="20"/>
                <w:szCs w:val="20"/>
              </w:rPr>
              <w:t>1.30</w:t>
            </w:r>
            <w:r w:rsidR="006A2841" w:rsidRPr="0018585E">
              <w:rPr>
                <w:sz w:val="20"/>
                <w:szCs w:val="20"/>
              </w:rPr>
              <w:t>%</w:t>
            </w:r>
          </w:p>
        </w:tc>
        <w:tc>
          <w:tcPr>
            <w:tcW w:w="953" w:type="dxa"/>
          </w:tcPr>
          <w:p w14:paraId="08BB4A5F" w14:textId="77777777" w:rsidR="006A2841" w:rsidRPr="0018585E" w:rsidRDefault="00377B10" w:rsidP="00DD58F0">
            <w:pPr>
              <w:ind w:left="0" w:firstLine="0"/>
              <w:jc w:val="center"/>
              <w:rPr>
                <w:sz w:val="20"/>
                <w:szCs w:val="20"/>
              </w:rPr>
            </w:pPr>
            <w:r>
              <w:rPr>
                <w:sz w:val="20"/>
                <w:szCs w:val="20"/>
              </w:rPr>
              <w:t>1.40%</w:t>
            </w:r>
          </w:p>
        </w:tc>
        <w:tc>
          <w:tcPr>
            <w:tcW w:w="953" w:type="dxa"/>
          </w:tcPr>
          <w:p w14:paraId="1420CA6C" w14:textId="77777777" w:rsidR="006A2841" w:rsidRPr="0018585E" w:rsidRDefault="00377B10" w:rsidP="006A2841">
            <w:pPr>
              <w:ind w:left="0" w:firstLine="0"/>
              <w:jc w:val="center"/>
              <w:rPr>
                <w:sz w:val="20"/>
                <w:szCs w:val="20"/>
              </w:rPr>
            </w:pPr>
            <w:r>
              <w:rPr>
                <w:sz w:val="20"/>
                <w:szCs w:val="20"/>
              </w:rPr>
              <w:t>1.40%</w:t>
            </w:r>
          </w:p>
        </w:tc>
        <w:tc>
          <w:tcPr>
            <w:tcW w:w="952" w:type="dxa"/>
          </w:tcPr>
          <w:p w14:paraId="490255A5" w14:textId="77777777" w:rsidR="006A2841" w:rsidRPr="0018585E" w:rsidRDefault="00377B10" w:rsidP="00DD58F0">
            <w:pPr>
              <w:ind w:left="0" w:firstLine="0"/>
              <w:jc w:val="center"/>
              <w:rPr>
                <w:sz w:val="20"/>
                <w:szCs w:val="20"/>
              </w:rPr>
            </w:pPr>
            <w:r>
              <w:rPr>
                <w:sz w:val="20"/>
                <w:szCs w:val="20"/>
              </w:rPr>
              <w:t>1.40%</w:t>
            </w:r>
          </w:p>
        </w:tc>
        <w:tc>
          <w:tcPr>
            <w:tcW w:w="953" w:type="dxa"/>
          </w:tcPr>
          <w:p w14:paraId="799C6E8F" w14:textId="77777777" w:rsidR="006A2841" w:rsidRPr="0018585E" w:rsidRDefault="00377B10" w:rsidP="00DD58F0">
            <w:pPr>
              <w:ind w:left="0" w:firstLine="0"/>
              <w:jc w:val="center"/>
              <w:rPr>
                <w:sz w:val="20"/>
                <w:szCs w:val="20"/>
              </w:rPr>
            </w:pPr>
            <w:r>
              <w:rPr>
                <w:sz w:val="20"/>
                <w:szCs w:val="20"/>
              </w:rPr>
              <w:t>1.40%</w:t>
            </w:r>
          </w:p>
        </w:tc>
        <w:tc>
          <w:tcPr>
            <w:tcW w:w="953" w:type="dxa"/>
          </w:tcPr>
          <w:p w14:paraId="014A5911" w14:textId="77777777" w:rsidR="006A2841" w:rsidRPr="0018585E" w:rsidRDefault="00377B10" w:rsidP="00DD58F0">
            <w:pPr>
              <w:ind w:left="0" w:firstLine="0"/>
              <w:jc w:val="center"/>
              <w:rPr>
                <w:sz w:val="20"/>
                <w:szCs w:val="20"/>
              </w:rPr>
            </w:pPr>
            <w:r>
              <w:rPr>
                <w:sz w:val="20"/>
                <w:szCs w:val="20"/>
              </w:rPr>
              <w:t>1.50%</w:t>
            </w:r>
          </w:p>
        </w:tc>
        <w:tc>
          <w:tcPr>
            <w:tcW w:w="952" w:type="dxa"/>
          </w:tcPr>
          <w:p w14:paraId="1C47910F" w14:textId="77777777" w:rsidR="006A2841" w:rsidRPr="0018585E" w:rsidRDefault="00377B10" w:rsidP="006A2841">
            <w:pPr>
              <w:ind w:left="0" w:firstLine="0"/>
              <w:jc w:val="center"/>
              <w:rPr>
                <w:sz w:val="20"/>
                <w:szCs w:val="20"/>
              </w:rPr>
            </w:pPr>
            <w:r>
              <w:rPr>
                <w:sz w:val="20"/>
                <w:szCs w:val="20"/>
              </w:rPr>
              <w:t>1.50%</w:t>
            </w:r>
          </w:p>
        </w:tc>
        <w:tc>
          <w:tcPr>
            <w:tcW w:w="953" w:type="dxa"/>
          </w:tcPr>
          <w:p w14:paraId="0094A28E" w14:textId="77777777" w:rsidR="006A2841" w:rsidRPr="0018585E" w:rsidRDefault="00377B10" w:rsidP="006A2841">
            <w:pPr>
              <w:ind w:left="0" w:firstLine="0"/>
              <w:jc w:val="center"/>
              <w:rPr>
                <w:sz w:val="20"/>
                <w:szCs w:val="20"/>
              </w:rPr>
            </w:pPr>
            <w:r>
              <w:rPr>
                <w:sz w:val="20"/>
                <w:szCs w:val="20"/>
              </w:rPr>
              <w:t>1.50%</w:t>
            </w:r>
          </w:p>
        </w:tc>
      </w:tr>
      <w:tr w:rsidR="006A2841" w:rsidRPr="0018585E" w14:paraId="3DFD1547" w14:textId="77777777" w:rsidTr="006A2841">
        <w:tc>
          <w:tcPr>
            <w:tcW w:w="1789" w:type="dxa"/>
          </w:tcPr>
          <w:p w14:paraId="0CC4CD48" w14:textId="77777777" w:rsidR="006A2841" w:rsidRPr="0018585E" w:rsidRDefault="006A2841" w:rsidP="00FF4942">
            <w:pPr>
              <w:ind w:left="0" w:firstLine="0"/>
              <w:rPr>
                <w:sz w:val="20"/>
                <w:szCs w:val="20"/>
              </w:rPr>
            </w:pPr>
            <w:r w:rsidRPr="0018585E">
              <w:rPr>
                <w:sz w:val="20"/>
                <w:szCs w:val="20"/>
              </w:rPr>
              <w:t>Capital Economics</w:t>
            </w:r>
          </w:p>
        </w:tc>
        <w:tc>
          <w:tcPr>
            <w:tcW w:w="952" w:type="dxa"/>
          </w:tcPr>
          <w:p w14:paraId="7504040B" w14:textId="77777777" w:rsidR="006A2841" w:rsidRPr="0018585E" w:rsidRDefault="00377B10" w:rsidP="00DD58F0">
            <w:pPr>
              <w:ind w:left="0" w:firstLine="0"/>
              <w:jc w:val="center"/>
              <w:rPr>
                <w:sz w:val="20"/>
                <w:szCs w:val="20"/>
              </w:rPr>
            </w:pPr>
            <w:r>
              <w:rPr>
                <w:sz w:val="20"/>
                <w:szCs w:val="20"/>
              </w:rPr>
              <w:t>1.70%</w:t>
            </w:r>
          </w:p>
        </w:tc>
        <w:tc>
          <w:tcPr>
            <w:tcW w:w="953" w:type="dxa"/>
          </w:tcPr>
          <w:p w14:paraId="361BFF60" w14:textId="77777777" w:rsidR="006A2841" w:rsidRPr="0018585E" w:rsidRDefault="00377B10" w:rsidP="00DD58F0">
            <w:pPr>
              <w:ind w:left="0" w:firstLine="0"/>
              <w:jc w:val="center"/>
              <w:rPr>
                <w:sz w:val="20"/>
                <w:szCs w:val="20"/>
              </w:rPr>
            </w:pPr>
            <w:r>
              <w:rPr>
                <w:sz w:val="20"/>
                <w:szCs w:val="20"/>
              </w:rPr>
              <w:t>1.70%</w:t>
            </w:r>
          </w:p>
        </w:tc>
        <w:tc>
          <w:tcPr>
            <w:tcW w:w="953" w:type="dxa"/>
          </w:tcPr>
          <w:p w14:paraId="6B20D692" w14:textId="77777777" w:rsidR="006A2841" w:rsidRPr="0018585E" w:rsidRDefault="00377B10" w:rsidP="006A2841">
            <w:pPr>
              <w:ind w:left="0" w:firstLine="0"/>
              <w:jc w:val="center"/>
              <w:rPr>
                <w:sz w:val="20"/>
                <w:szCs w:val="20"/>
              </w:rPr>
            </w:pPr>
            <w:r>
              <w:rPr>
                <w:sz w:val="20"/>
                <w:szCs w:val="20"/>
              </w:rPr>
              <w:t>1.70%</w:t>
            </w:r>
          </w:p>
        </w:tc>
        <w:tc>
          <w:tcPr>
            <w:tcW w:w="952" w:type="dxa"/>
          </w:tcPr>
          <w:p w14:paraId="65D490EE" w14:textId="77777777" w:rsidR="006A2841" w:rsidRPr="0018585E" w:rsidRDefault="00377B10" w:rsidP="006A2841">
            <w:pPr>
              <w:ind w:left="0" w:firstLine="0"/>
              <w:jc w:val="center"/>
              <w:rPr>
                <w:sz w:val="20"/>
                <w:szCs w:val="20"/>
              </w:rPr>
            </w:pPr>
            <w:r>
              <w:rPr>
                <w:sz w:val="20"/>
                <w:szCs w:val="20"/>
              </w:rPr>
              <w:t>1.70%</w:t>
            </w:r>
          </w:p>
        </w:tc>
        <w:tc>
          <w:tcPr>
            <w:tcW w:w="953" w:type="dxa"/>
          </w:tcPr>
          <w:p w14:paraId="26C8D7E6" w14:textId="77777777" w:rsidR="006A2841" w:rsidRPr="0018585E" w:rsidRDefault="00377B10" w:rsidP="006A2841">
            <w:pPr>
              <w:ind w:left="0" w:firstLine="0"/>
              <w:jc w:val="center"/>
              <w:rPr>
                <w:sz w:val="20"/>
                <w:szCs w:val="20"/>
              </w:rPr>
            </w:pPr>
            <w:r>
              <w:rPr>
                <w:sz w:val="20"/>
                <w:szCs w:val="20"/>
              </w:rPr>
              <w:t>1.70%</w:t>
            </w:r>
          </w:p>
        </w:tc>
        <w:tc>
          <w:tcPr>
            <w:tcW w:w="953" w:type="dxa"/>
          </w:tcPr>
          <w:p w14:paraId="020F5971" w14:textId="77777777" w:rsidR="006A2841" w:rsidRPr="0018585E" w:rsidRDefault="00377B10" w:rsidP="006A2841">
            <w:pPr>
              <w:ind w:left="0" w:firstLine="0"/>
              <w:jc w:val="center"/>
              <w:rPr>
                <w:sz w:val="20"/>
                <w:szCs w:val="20"/>
              </w:rPr>
            </w:pPr>
            <w:r>
              <w:rPr>
                <w:sz w:val="20"/>
                <w:szCs w:val="20"/>
              </w:rPr>
              <w:t>1.70%</w:t>
            </w:r>
          </w:p>
        </w:tc>
        <w:tc>
          <w:tcPr>
            <w:tcW w:w="952" w:type="dxa"/>
          </w:tcPr>
          <w:p w14:paraId="21E6F116" w14:textId="77777777" w:rsidR="006A2841" w:rsidRPr="0018585E" w:rsidRDefault="00377B10" w:rsidP="006A2841">
            <w:pPr>
              <w:ind w:left="0" w:firstLine="0"/>
              <w:jc w:val="center"/>
              <w:rPr>
                <w:sz w:val="20"/>
                <w:szCs w:val="20"/>
              </w:rPr>
            </w:pPr>
            <w:r>
              <w:rPr>
                <w:sz w:val="20"/>
                <w:szCs w:val="20"/>
              </w:rPr>
              <w:t>1.70%</w:t>
            </w:r>
          </w:p>
        </w:tc>
        <w:tc>
          <w:tcPr>
            <w:tcW w:w="953" w:type="dxa"/>
          </w:tcPr>
          <w:p w14:paraId="33BB92D7" w14:textId="77777777" w:rsidR="006A2841" w:rsidRPr="0018585E" w:rsidRDefault="00377B10" w:rsidP="006A2841">
            <w:pPr>
              <w:ind w:left="0" w:firstLine="0"/>
              <w:jc w:val="center"/>
              <w:rPr>
                <w:sz w:val="20"/>
                <w:szCs w:val="20"/>
              </w:rPr>
            </w:pPr>
            <w:r>
              <w:rPr>
                <w:sz w:val="20"/>
                <w:szCs w:val="20"/>
              </w:rPr>
              <w:t>1.70%</w:t>
            </w:r>
          </w:p>
        </w:tc>
      </w:tr>
    </w:tbl>
    <w:p w14:paraId="31261019" w14:textId="77777777" w:rsidR="00CB588D" w:rsidRDefault="00CB588D" w:rsidP="00CB588D">
      <w:pPr>
        <w:ind w:left="0" w:firstLine="0"/>
      </w:pPr>
    </w:p>
    <w:p w14:paraId="1C44579D" w14:textId="77777777" w:rsidR="00CB588D" w:rsidRPr="00CB588D" w:rsidRDefault="00CB588D" w:rsidP="00CB588D">
      <w:pPr>
        <w:ind w:left="0" w:firstLine="0"/>
        <w:sectPr w:rsidR="00CB588D" w:rsidRPr="00CB588D" w:rsidSect="00CB588D">
          <w:pgSz w:w="16838" w:h="11906" w:orient="landscape"/>
          <w:pgMar w:top="1440" w:right="1440" w:bottom="1440" w:left="1440" w:header="708" w:footer="708" w:gutter="0"/>
          <w:cols w:space="708"/>
          <w:docGrid w:linePitch="360"/>
        </w:sectPr>
      </w:pPr>
    </w:p>
    <w:p w14:paraId="04E1F549" w14:textId="77777777" w:rsidR="00CB588D" w:rsidRDefault="005B1B71" w:rsidP="005B1B71">
      <w:pPr>
        <w:jc w:val="right"/>
        <w:rPr>
          <w:b/>
        </w:rPr>
      </w:pPr>
      <w:r>
        <w:rPr>
          <w:b/>
        </w:rPr>
        <w:lastRenderedPageBreak/>
        <w:t>Annex B</w:t>
      </w:r>
    </w:p>
    <w:p w14:paraId="6B8B9D6D" w14:textId="77777777" w:rsidR="007F2D17" w:rsidRDefault="007B4E3D" w:rsidP="007F2D17">
      <w:pPr>
        <w:jc w:val="center"/>
        <w:rPr>
          <w:b/>
        </w:rPr>
      </w:pPr>
      <w:r>
        <w:rPr>
          <w:b/>
        </w:rPr>
        <w:t>Local G</w:t>
      </w:r>
      <w:r w:rsidR="007F2D17">
        <w:rPr>
          <w:b/>
        </w:rPr>
        <w:t>overnment Investments (England)</w:t>
      </w:r>
    </w:p>
    <w:p w14:paraId="6623495E" w14:textId="77777777" w:rsidR="00482E01" w:rsidRPr="00482E01" w:rsidRDefault="00482E01" w:rsidP="007F2D17">
      <w:pPr>
        <w:jc w:val="center"/>
        <w:rPr>
          <w:b/>
        </w:rPr>
      </w:pPr>
      <w:r w:rsidRPr="00482E01">
        <w:rPr>
          <w:b/>
        </w:rPr>
        <w:t>Specified versus Non-Specified Investments</w:t>
      </w:r>
    </w:p>
    <w:p w14:paraId="72C29534" w14:textId="77777777" w:rsidR="00482E01" w:rsidRDefault="00482E01" w:rsidP="00097C7A"/>
    <w:p w14:paraId="2DE2E7F9" w14:textId="77777777" w:rsidR="00482E01" w:rsidRDefault="00482E01" w:rsidP="00153AC7">
      <w:pPr>
        <w:ind w:firstLine="0"/>
      </w:pPr>
      <w:r>
        <w:t>The English Investment Guidance issued by the ODPM on 22 March 2004 defined Local Government investments as being either “Specified” or “Non-Specified”. The guidance was, however, non-prescriptive in classifying the various investment instruments available into either of these categories. Indeed, in a continually changing market where new innovative ‘products’ are frequently being introduced it would be extremely problematical, if not impossible to do.</w:t>
      </w:r>
    </w:p>
    <w:p w14:paraId="74EA0D80" w14:textId="77777777" w:rsidR="00482E01" w:rsidRDefault="00482E01" w:rsidP="00153AC7">
      <w:pPr>
        <w:ind w:firstLine="0"/>
      </w:pPr>
      <w:r>
        <w:t xml:space="preserve">Much focus and emphasis </w:t>
      </w:r>
      <w:proofErr w:type="gramStart"/>
      <w:r>
        <w:t>is</w:t>
      </w:r>
      <w:proofErr w:type="gramEnd"/>
      <w:r>
        <w:t xml:space="preserve"> therefore place on that element of the </w:t>
      </w:r>
      <w:r w:rsidR="005F69E4">
        <w:t>G</w:t>
      </w:r>
      <w:r>
        <w:t xml:space="preserve">uidance which states that Specified Investments should require “minimal procedural formalities”. The </w:t>
      </w:r>
      <w:r w:rsidR="005F69E4">
        <w:t>Authority and the Council’s Treasury Management advisers have discussed this issue directly with the DCLG, who have expressed their desire to see Local Authorities apply the spirit of the Guidance rather than focus on a legalistic approach to the meaning of words in the Guidance. The spirit of the Guidance is that investment products, which take on greater risks and therefore should be subject to greater scrutiny should be subject to more rigorous justification and agreement of their use in the Annual Investment Strategy and so should fall into the Non-Specified category.</w:t>
      </w:r>
    </w:p>
    <w:p w14:paraId="5214E3BB" w14:textId="77777777" w:rsidR="005F69E4" w:rsidRDefault="005F69E4" w:rsidP="00153AC7">
      <w:pPr>
        <w:ind w:firstLine="0"/>
      </w:pPr>
      <w:r>
        <w:t>The following tables have been drafted on that basis.</w:t>
      </w:r>
    </w:p>
    <w:p w14:paraId="06715D12" w14:textId="77777777" w:rsidR="00593C91" w:rsidRDefault="00593C91" w:rsidP="00482E01">
      <w:pPr>
        <w:sectPr w:rsidR="00593C91" w:rsidSect="00F25C0C">
          <w:pgSz w:w="11906" w:h="16838"/>
          <w:pgMar w:top="1440" w:right="1440" w:bottom="1440" w:left="1440" w:header="708" w:footer="708" w:gutter="0"/>
          <w:cols w:space="708"/>
          <w:docGrid w:linePitch="360"/>
        </w:sectPr>
      </w:pPr>
    </w:p>
    <w:p w14:paraId="460C30BD" w14:textId="77777777" w:rsidR="00593C91" w:rsidRDefault="00593C91" w:rsidP="00593C91">
      <w:pPr>
        <w:jc w:val="center"/>
        <w:rPr>
          <w:b/>
        </w:rPr>
      </w:pPr>
      <w:r w:rsidRPr="00482E01">
        <w:rPr>
          <w:b/>
        </w:rPr>
        <w:lastRenderedPageBreak/>
        <w:t xml:space="preserve">Local government </w:t>
      </w:r>
      <w:r w:rsidR="005B1B71">
        <w:rPr>
          <w:b/>
        </w:rPr>
        <w:t xml:space="preserve">Investments (England) - </w:t>
      </w:r>
      <w:r w:rsidRPr="00482E01">
        <w:rPr>
          <w:b/>
        </w:rPr>
        <w:t>Specified Investments</w:t>
      </w:r>
    </w:p>
    <w:p w14:paraId="5CB69B26" w14:textId="77777777" w:rsidR="00593C91" w:rsidRPr="00593C91" w:rsidRDefault="00593C91" w:rsidP="00593C91">
      <w:pPr>
        <w:jc w:val="center"/>
        <w:rPr>
          <w:i/>
        </w:rPr>
      </w:pPr>
      <w:r w:rsidRPr="00593C91">
        <w:rPr>
          <w:i/>
        </w:rPr>
        <w:t>All “Specified Investments” listed below must be sterling denominated with maturities of up to 1 year</w:t>
      </w:r>
    </w:p>
    <w:tbl>
      <w:tblPr>
        <w:tblStyle w:val="TableGrid"/>
        <w:tblW w:w="0" w:type="auto"/>
        <w:tblLook w:val="04A0" w:firstRow="1" w:lastRow="0" w:firstColumn="1" w:lastColumn="0" w:noHBand="0" w:noVBand="1"/>
      </w:tblPr>
      <w:tblGrid>
        <w:gridCol w:w="4113"/>
        <w:gridCol w:w="1980"/>
        <w:gridCol w:w="1972"/>
        <w:gridCol w:w="2520"/>
        <w:gridCol w:w="3363"/>
      </w:tblGrid>
      <w:tr w:rsidR="00593C91" w:rsidRPr="007F2D17" w14:paraId="1C67A1C0" w14:textId="77777777" w:rsidTr="00786771">
        <w:tc>
          <w:tcPr>
            <w:tcW w:w="4219" w:type="dxa"/>
          </w:tcPr>
          <w:p w14:paraId="646AEE7F" w14:textId="77777777" w:rsidR="00593C91" w:rsidRPr="007F2D17" w:rsidRDefault="00593C91" w:rsidP="00593C91">
            <w:pPr>
              <w:jc w:val="center"/>
              <w:rPr>
                <w:b/>
                <w:sz w:val="18"/>
                <w:szCs w:val="18"/>
              </w:rPr>
            </w:pPr>
            <w:r w:rsidRPr="007F2D17">
              <w:rPr>
                <w:b/>
                <w:sz w:val="18"/>
                <w:szCs w:val="18"/>
              </w:rPr>
              <w:t>Investment</w:t>
            </w:r>
          </w:p>
        </w:tc>
        <w:tc>
          <w:tcPr>
            <w:tcW w:w="1985" w:type="dxa"/>
          </w:tcPr>
          <w:p w14:paraId="754C7B57" w14:textId="77777777" w:rsidR="00593C91" w:rsidRPr="007F2D17" w:rsidRDefault="00593C91" w:rsidP="00593C91">
            <w:pPr>
              <w:jc w:val="center"/>
              <w:rPr>
                <w:b/>
                <w:sz w:val="18"/>
                <w:szCs w:val="18"/>
              </w:rPr>
            </w:pPr>
            <w:r w:rsidRPr="007F2D17">
              <w:rPr>
                <w:b/>
                <w:sz w:val="18"/>
                <w:szCs w:val="18"/>
              </w:rPr>
              <w:t>Repayable / Redeemable within 12 months?</w:t>
            </w:r>
          </w:p>
        </w:tc>
        <w:tc>
          <w:tcPr>
            <w:tcW w:w="1984" w:type="dxa"/>
          </w:tcPr>
          <w:p w14:paraId="1224A674" w14:textId="77777777" w:rsidR="00593C91" w:rsidRPr="007F2D17" w:rsidRDefault="00593C91" w:rsidP="00593C91">
            <w:pPr>
              <w:jc w:val="center"/>
              <w:rPr>
                <w:b/>
                <w:sz w:val="18"/>
                <w:szCs w:val="18"/>
              </w:rPr>
            </w:pPr>
            <w:r w:rsidRPr="007F2D17">
              <w:rPr>
                <w:b/>
                <w:sz w:val="18"/>
                <w:szCs w:val="18"/>
              </w:rPr>
              <w:t>Security / Minimum credit rating</w:t>
            </w:r>
          </w:p>
        </w:tc>
        <w:tc>
          <w:tcPr>
            <w:tcW w:w="2552" w:type="dxa"/>
          </w:tcPr>
          <w:p w14:paraId="23126EB5" w14:textId="77777777" w:rsidR="00593C91" w:rsidRPr="007F2D17" w:rsidRDefault="00593C91" w:rsidP="00593C91">
            <w:pPr>
              <w:jc w:val="center"/>
              <w:rPr>
                <w:b/>
                <w:sz w:val="18"/>
                <w:szCs w:val="18"/>
              </w:rPr>
            </w:pPr>
            <w:r w:rsidRPr="007F2D17">
              <w:rPr>
                <w:b/>
                <w:sz w:val="18"/>
                <w:szCs w:val="18"/>
              </w:rPr>
              <w:t>Use for managing internal investments</w:t>
            </w:r>
          </w:p>
        </w:tc>
        <w:tc>
          <w:tcPr>
            <w:tcW w:w="3434" w:type="dxa"/>
          </w:tcPr>
          <w:p w14:paraId="152DE2EF" w14:textId="77777777" w:rsidR="00593C91" w:rsidRPr="007F2D17" w:rsidRDefault="00593C91" w:rsidP="00593C91">
            <w:pPr>
              <w:jc w:val="center"/>
              <w:rPr>
                <w:b/>
                <w:sz w:val="18"/>
                <w:szCs w:val="18"/>
              </w:rPr>
            </w:pPr>
            <w:r w:rsidRPr="007F2D17">
              <w:rPr>
                <w:b/>
                <w:sz w:val="18"/>
                <w:szCs w:val="18"/>
              </w:rPr>
              <w:t>Maximum period</w:t>
            </w:r>
          </w:p>
        </w:tc>
      </w:tr>
      <w:tr w:rsidR="00593C91" w:rsidRPr="007F2D17" w14:paraId="5A4B94DE" w14:textId="77777777" w:rsidTr="00786771">
        <w:tc>
          <w:tcPr>
            <w:tcW w:w="4219" w:type="dxa"/>
          </w:tcPr>
          <w:p w14:paraId="4EB4FBB2" w14:textId="77777777" w:rsidR="00593C91" w:rsidRPr="007F2D17" w:rsidRDefault="00593C91" w:rsidP="00593C91">
            <w:pPr>
              <w:rPr>
                <w:b/>
                <w:sz w:val="18"/>
                <w:szCs w:val="18"/>
              </w:rPr>
            </w:pPr>
            <w:r w:rsidRPr="007F2D17">
              <w:rPr>
                <w:b/>
                <w:sz w:val="18"/>
                <w:szCs w:val="18"/>
              </w:rPr>
              <w:t xml:space="preserve">Debt Management Agency Deposit Facility </w:t>
            </w:r>
            <w:r w:rsidRPr="007F2D17">
              <w:rPr>
                <w:sz w:val="18"/>
                <w:szCs w:val="18"/>
              </w:rPr>
              <w:t>(DMADF)</w:t>
            </w:r>
          </w:p>
        </w:tc>
        <w:tc>
          <w:tcPr>
            <w:tcW w:w="1985" w:type="dxa"/>
          </w:tcPr>
          <w:p w14:paraId="1028B74E" w14:textId="77777777" w:rsidR="00593C91" w:rsidRPr="007F2D17" w:rsidRDefault="00593C91" w:rsidP="00593C91">
            <w:pPr>
              <w:jc w:val="center"/>
              <w:rPr>
                <w:sz w:val="18"/>
                <w:szCs w:val="18"/>
              </w:rPr>
            </w:pPr>
            <w:r w:rsidRPr="007F2D17">
              <w:rPr>
                <w:sz w:val="18"/>
                <w:szCs w:val="18"/>
              </w:rPr>
              <w:t>Yes</w:t>
            </w:r>
          </w:p>
        </w:tc>
        <w:tc>
          <w:tcPr>
            <w:tcW w:w="1984" w:type="dxa"/>
          </w:tcPr>
          <w:p w14:paraId="050CE46F" w14:textId="77777777" w:rsidR="00593C91" w:rsidRPr="007F2D17" w:rsidRDefault="00593C91" w:rsidP="00593C91">
            <w:pPr>
              <w:jc w:val="center"/>
              <w:rPr>
                <w:sz w:val="18"/>
                <w:szCs w:val="18"/>
              </w:rPr>
            </w:pPr>
            <w:r w:rsidRPr="007F2D17">
              <w:rPr>
                <w:sz w:val="18"/>
                <w:szCs w:val="18"/>
              </w:rPr>
              <w:t>Govt-backed</w:t>
            </w:r>
          </w:p>
        </w:tc>
        <w:tc>
          <w:tcPr>
            <w:tcW w:w="2552" w:type="dxa"/>
          </w:tcPr>
          <w:p w14:paraId="5AA43989" w14:textId="77777777" w:rsidR="00593C91" w:rsidRPr="007F2D17" w:rsidRDefault="00593C91" w:rsidP="00593C91">
            <w:pPr>
              <w:jc w:val="center"/>
              <w:rPr>
                <w:sz w:val="18"/>
                <w:szCs w:val="18"/>
              </w:rPr>
            </w:pPr>
            <w:r w:rsidRPr="007F2D17">
              <w:rPr>
                <w:sz w:val="18"/>
                <w:szCs w:val="18"/>
              </w:rPr>
              <w:t>Yes</w:t>
            </w:r>
          </w:p>
        </w:tc>
        <w:tc>
          <w:tcPr>
            <w:tcW w:w="3434" w:type="dxa"/>
          </w:tcPr>
          <w:p w14:paraId="694013FC" w14:textId="77777777" w:rsidR="00593C91" w:rsidRPr="007F2D17" w:rsidRDefault="00593C91" w:rsidP="00593C91">
            <w:pPr>
              <w:jc w:val="center"/>
              <w:rPr>
                <w:sz w:val="18"/>
                <w:szCs w:val="18"/>
              </w:rPr>
            </w:pPr>
            <w:r w:rsidRPr="007F2D17">
              <w:rPr>
                <w:sz w:val="18"/>
                <w:szCs w:val="18"/>
              </w:rPr>
              <w:t>6 months</w:t>
            </w:r>
          </w:p>
        </w:tc>
      </w:tr>
      <w:tr w:rsidR="00593C91" w:rsidRPr="007F2D17" w14:paraId="4A07880B" w14:textId="77777777" w:rsidTr="00786771">
        <w:tc>
          <w:tcPr>
            <w:tcW w:w="4219" w:type="dxa"/>
          </w:tcPr>
          <w:p w14:paraId="209AFF30" w14:textId="77777777" w:rsidR="00593C91" w:rsidRPr="007F2D17" w:rsidRDefault="00593C91" w:rsidP="00593C91">
            <w:pPr>
              <w:rPr>
                <w:b/>
                <w:caps/>
                <w:sz w:val="18"/>
                <w:szCs w:val="18"/>
              </w:rPr>
            </w:pPr>
            <w:r w:rsidRPr="007F2D17">
              <w:rPr>
                <w:b/>
                <w:sz w:val="18"/>
                <w:szCs w:val="18"/>
              </w:rPr>
              <w:t xml:space="preserve">Term deposits </w:t>
            </w:r>
            <w:r w:rsidRPr="007F2D17">
              <w:rPr>
                <w:sz w:val="18"/>
                <w:szCs w:val="18"/>
              </w:rPr>
              <w:t>with UK Government or with UK local Authorities (i.e. Local Authorities as defined under section 23 of the 2003 Act) with maturities up to 1 year</w:t>
            </w:r>
          </w:p>
        </w:tc>
        <w:tc>
          <w:tcPr>
            <w:tcW w:w="1985" w:type="dxa"/>
          </w:tcPr>
          <w:p w14:paraId="753C958C" w14:textId="77777777" w:rsidR="00593C91" w:rsidRPr="007F2D17" w:rsidRDefault="00593C91" w:rsidP="00593C91">
            <w:pPr>
              <w:jc w:val="center"/>
              <w:rPr>
                <w:sz w:val="18"/>
                <w:szCs w:val="18"/>
              </w:rPr>
            </w:pPr>
            <w:r w:rsidRPr="007F2D17">
              <w:rPr>
                <w:sz w:val="18"/>
                <w:szCs w:val="18"/>
              </w:rPr>
              <w:t>Yes</w:t>
            </w:r>
          </w:p>
        </w:tc>
        <w:tc>
          <w:tcPr>
            <w:tcW w:w="1984" w:type="dxa"/>
          </w:tcPr>
          <w:p w14:paraId="30421625" w14:textId="77777777" w:rsidR="00593C91" w:rsidRPr="007F2D17" w:rsidRDefault="00593C91" w:rsidP="00593C91">
            <w:pPr>
              <w:jc w:val="center"/>
              <w:rPr>
                <w:sz w:val="18"/>
                <w:szCs w:val="18"/>
              </w:rPr>
            </w:pPr>
            <w:r w:rsidRPr="007F2D17">
              <w:rPr>
                <w:sz w:val="18"/>
                <w:szCs w:val="18"/>
              </w:rPr>
              <w:t>High security although local authorities are not credit rated</w:t>
            </w:r>
          </w:p>
        </w:tc>
        <w:tc>
          <w:tcPr>
            <w:tcW w:w="2552" w:type="dxa"/>
          </w:tcPr>
          <w:p w14:paraId="72584DB3" w14:textId="77777777" w:rsidR="00593C91" w:rsidRPr="007F2D17" w:rsidRDefault="007548D6" w:rsidP="00593C91">
            <w:pPr>
              <w:jc w:val="center"/>
              <w:rPr>
                <w:sz w:val="18"/>
                <w:szCs w:val="18"/>
              </w:rPr>
            </w:pPr>
            <w:r w:rsidRPr="007F2D17">
              <w:rPr>
                <w:sz w:val="18"/>
                <w:szCs w:val="18"/>
              </w:rPr>
              <w:t>Yes</w:t>
            </w:r>
          </w:p>
        </w:tc>
        <w:tc>
          <w:tcPr>
            <w:tcW w:w="3434" w:type="dxa"/>
          </w:tcPr>
          <w:p w14:paraId="40A9B813" w14:textId="77777777" w:rsidR="00593C91" w:rsidRPr="007F2D17" w:rsidRDefault="007548D6" w:rsidP="00593C91">
            <w:pPr>
              <w:jc w:val="center"/>
              <w:rPr>
                <w:sz w:val="18"/>
                <w:szCs w:val="18"/>
              </w:rPr>
            </w:pPr>
            <w:r w:rsidRPr="007F2D17">
              <w:rPr>
                <w:sz w:val="18"/>
                <w:szCs w:val="18"/>
              </w:rPr>
              <w:t>1 year</w:t>
            </w:r>
          </w:p>
        </w:tc>
      </w:tr>
      <w:tr w:rsidR="00593C91" w:rsidRPr="007F2D17" w14:paraId="3517CF1D" w14:textId="77777777" w:rsidTr="00786771">
        <w:tc>
          <w:tcPr>
            <w:tcW w:w="4219" w:type="dxa"/>
          </w:tcPr>
          <w:p w14:paraId="1DFAF15A" w14:textId="77777777" w:rsidR="00593C91" w:rsidRPr="007F2D17" w:rsidRDefault="007548D6" w:rsidP="00593C91">
            <w:pPr>
              <w:rPr>
                <w:sz w:val="18"/>
                <w:szCs w:val="18"/>
              </w:rPr>
            </w:pPr>
            <w:r w:rsidRPr="007F2D17">
              <w:rPr>
                <w:b/>
                <w:sz w:val="18"/>
                <w:szCs w:val="18"/>
              </w:rPr>
              <w:t>Term deposits</w:t>
            </w:r>
            <w:r w:rsidRPr="007F2D17">
              <w:rPr>
                <w:sz w:val="18"/>
                <w:szCs w:val="18"/>
              </w:rPr>
              <w:t xml:space="preserve"> with credit-rated deposit takers (Banks and Building Societies) with maturities up to 1 year</w:t>
            </w:r>
          </w:p>
        </w:tc>
        <w:tc>
          <w:tcPr>
            <w:tcW w:w="1985" w:type="dxa"/>
          </w:tcPr>
          <w:p w14:paraId="3F09DDFD" w14:textId="77777777" w:rsidR="00593C91" w:rsidRPr="007F2D17" w:rsidRDefault="007548D6" w:rsidP="00593C91">
            <w:pPr>
              <w:jc w:val="center"/>
              <w:rPr>
                <w:sz w:val="18"/>
                <w:szCs w:val="18"/>
              </w:rPr>
            </w:pPr>
            <w:r w:rsidRPr="007F2D17">
              <w:rPr>
                <w:sz w:val="18"/>
                <w:szCs w:val="18"/>
              </w:rPr>
              <w:t>Yes</w:t>
            </w:r>
          </w:p>
        </w:tc>
        <w:tc>
          <w:tcPr>
            <w:tcW w:w="1984" w:type="dxa"/>
          </w:tcPr>
          <w:p w14:paraId="78961A02" w14:textId="77777777" w:rsidR="00593C91" w:rsidRPr="007F2D17" w:rsidRDefault="007548D6" w:rsidP="00593C91">
            <w:pPr>
              <w:jc w:val="center"/>
              <w:rPr>
                <w:sz w:val="18"/>
                <w:szCs w:val="18"/>
              </w:rPr>
            </w:pPr>
            <w:r w:rsidRPr="007F2D17">
              <w:rPr>
                <w:sz w:val="18"/>
                <w:szCs w:val="18"/>
              </w:rPr>
              <w:t>See*</w:t>
            </w:r>
          </w:p>
        </w:tc>
        <w:tc>
          <w:tcPr>
            <w:tcW w:w="2552" w:type="dxa"/>
          </w:tcPr>
          <w:p w14:paraId="3170BC88" w14:textId="77777777" w:rsidR="00593C91" w:rsidRPr="007F2D17" w:rsidRDefault="007548D6" w:rsidP="00593C91">
            <w:pPr>
              <w:jc w:val="center"/>
              <w:rPr>
                <w:sz w:val="18"/>
                <w:szCs w:val="18"/>
              </w:rPr>
            </w:pPr>
            <w:r w:rsidRPr="007F2D17">
              <w:rPr>
                <w:sz w:val="18"/>
                <w:szCs w:val="18"/>
              </w:rPr>
              <w:t>Yes</w:t>
            </w:r>
          </w:p>
        </w:tc>
        <w:tc>
          <w:tcPr>
            <w:tcW w:w="3434" w:type="dxa"/>
          </w:tcPr>
          <w:p w14:paraId="4CFD8658" w14:textId="77777777" w:rsidR="00593C91" w:rsidRPr="007F2D17" w:rsidRDefault="007548D6" w:rsidP="00593C91">
            <w:pPr>
              <w:jc w:val="center"/>
              <w:rPr>
                <w:sz w:val="18"/>
                <w:szCs w:val="18"/>
              </w:rPr>
            </w:pPr>
            <w:r w:rsidRPr="007F2D17">
              <w:rPr>
                <w:sz w:val="18"/>
                <w:szCs w:val="18"/>
              </w:rPr>
              <w:t>1 year</w:t>
            </w:r>
          </w:p>
        </w:tc>
      </w:tr>
      <w:tr w:rsidR="00593C91" w:rsidRPr="007F2D17" w14:paraId="193C9B80" w14:textId="77777777" w:rsidTr="00786771">
        <w:tc>
          <w:tcPr>
            <w:tcW w:w="4219" w:type="dxa"/>
          </w:tcPr>
          <w:p w14:paraId="6D7149A6" w14:textId="77777777" w:rsidR="00593C91" w:rsidRPr="007F2D17" w:rsidRDefault="007548D6" w:rsidP="007548D6">
            <w:pPr>
              <w:rPr>
                <w:sz w:val="18"/>
                <w:szCs w:val="18"/>
              </w:rPr>
            </w:pPr>
            <w:r w:rsidRPr="007F2D17">
              <w:rPr>
                <w:b/>
                <w:sz w:val="18"/>
                <w:szCs w:val="18"/>
              </w:rPr>
              <w:t>Money Market Funds</w:t>
            </w:r>
            <w:r w:rsidRPr="007F2D17">
              <w:rPr>
                <w:sz w:val="18"/>
                <w:szCs w:val="18"/>
              </w:rPr>
              <w:t xml:space="preserve"> (i.e. a collective investment scheme as defined in SI 2004 No. 534). </w:t>
            </w:r>
            <w:r w:rsidRPr="007F2D17">
              <w:rPr>
                <w:i/>
                <w:sz w:val="18"/>
                <w:szCs w:val="18"/>
              </w:rPr>
              <w:t>These funds do not have any maturity date</w:t>
            </w:r>
          </w:p>
        </w:tc>
        <w:tc>
          <w:tcPr>
            <w:tcW w:w="1985" w:type="dxa"/>
          </w:tcPr>
          <w:p w14:paraId="2E235566" w14:textId="77777777" w:rsidR="00593C91" w:rsidRPr="007F2D17" w:rsidRDefault="007548D6" w:rsidP="00593C91">
            <w:pPr>
              <w:jc w:val="center"/>
              <w:rPr>
                <w:sz w:val="18"/>
                <w:szCs w:val="18"/>
              </w:rPr>
            </w:pPr>
            <w:r w:rsidRPr="007F2D17">
              <w:rPr>
                <w:sz w:val="18"/>
                <w:szCs w:val="18"/>
              </w:rPr>
              <w:t>Yes</w:t>
            </w:r>
          </w:p>
        </w:tc>
        <w:tc>
          <w:tcPr>
            <w:tcW w:w="1984" w:type="dxa"/>
          </w:tcPr>
          <w:p w14:paraId="1C8FF9B5" w14:textId="77777777" w:rsidR="00593C91" w:rsidRPr="007F2D17" w:rsidRDefault="007548D6" w:rsidP="00593C91">
            <w:pPr>
              <w:jc w:val="center"/>
              <w:rPr>
                <w:sz w:val="18"/>
                <w:szCs w:val="18"/>
              </w:rPr>
            </w:pPr>
            <w:r w:rsidRPr="007F2D17">
              <w:rPr>
                <w:sz w:val="18"/>
                <w:szCs w:val="18"/>
              </w:rPr>
              <w:t>Yes: AAA</w:t>
            </w:r>
          </w:p>
        </w:tc>
        <w:tc>
          <w:tcPr>
            <w:tcW w:w="2552" w:type="dxa"/>
          </w:tcPr>
          <w:p w14:paraId="5A6B4B73" w14:textId="77777777" w:rsidR="00593C91" w:rsidRPr="007F2D17" w:rsidRDefault="007548D6" w:rsidP="00593C91">
            <w:pPr>
              <w:jc w:val="center"/>
              <w:rPr>
                <w:sz w:val="18"/>
                <w:szCs w:val="18"/>
              </w:rPr>
            </w:pPr>
            <w:r w:rsidRPr="007F2D17">
              <w:rPr>
                <w:sz w:val="18"/>
                <w:szCs w:val="18"/>
              </w:rPr>
              <w:t>Yes</w:t>
            </w:r>
          </w:p>
        </w:tc>
        <w:tc>
          <w:tcPr>
            <w:tcW w:w="3434" w:type="dxa"/>
          </w:tcPr>
          <w:p w14:paraId="613A6B8B" w14:textId="77777777" w:rsidR="00593C91" w:rsidRPr="007F2D17" w:rsidRDefault="007548D6" w:rsidP="00593C91">
            <w:pPr>
              <w:jc w:val="center"/>
              <w:rPr>
                <w:i/>
                <w:sz w:val="18"/>
                <w:szCs w:val="18"/>
              </w:rPr>
            </w:pPr>
            <w:r w:rsidRPr="007F2D17">
              <w:rPr>
                <w:i/>
                <w:sz w:val="18"/>
                <w:szCs w:val="18"/>
              </w:rPr>
              <w:t>The period of investment may not be determined at the outset but would be subject to</w:t>
            </w:r>
            <w:r w:rsidR="00561E39" w:rsidRPr="007F2D17">
              <w:rPr>
                <w:i/>
                <w:sz w:val="18"/>
                <w:szCs w:val="18"/>
              </w:rPr>
              <w:t xml:space="preserve"> cash flow and liquidity requirements</w:t>
            </w:r>
          </w:p>
        </w:tc>
      </w:tr>
      <w:tr w:rsidR="00561E39" w:rsidRPr="007F2D17" w14:paraId="299292D7" w14:textId="77777777" w:rsidTr="00786771">
        <w:tc>
          <w:tcPr>
            <w:tcW w:w="4219" w:type="dxa"/>
          </w:tcPr>
          <w:p w14:paraId="45263579" w14:textId="77777777" w:rsidR="00561E39" w:rsidRPr="007F2D17" w:rsidRDefault="00561E39" w:rsidP="007548D6">
            <w:pPr>
              <w:rPr>
                <w:sz w:val="18"/>
                <w:szCs w:val="18"/>
              </w:rPr>
            </w:pPr>
            <w:r w:rsidRPr="007F2D17">
              <w:rPr>
                <w:b/>
                <w:sz w:val="18"/>
                <w:szCs w:val="18"/>
              </w:rPr>
              <w:t>Forward deals</w:t>
            </w:r>
            <w:r w:rsidRPr="007F2D17">
              <w:rPr>
                <w:sz w:val="18"/>
                <w:szCs w:val="18"/>
              </w:rPr>
              <w:t xml:space="preserve"> with credit rated Banks and Building Societies &lt; 1 year (i.e. negotiated deal period plus period of deposit)</w:t>
            </w:r>
          </w:p>
        </w:tc>
        <w:tc>
          <w:tcPr>
            <w:tcW w:w="1985" w:type="dxa"/>
          </w:tcPr>
          <w:p w14:paraId="65DE30BB" w14:textId="77777777" w:rsidR="00561E39" w:rsidRPr="007F2D17" w:rsidRDefault="00561E39" w:rsidP="00593C91">
            <w:pPr>
              <w:jc w:val="center"/>
              <w:rPr>
                <w:sz w:val="18"/>
                <w:szCs w:val="18"/>
              </w:rPr>
            </w:pPr>
            <w:r w:rsidRPr="007F2D17">
              <w:rPr>
                <w:sz w:val="18"/>
                <w:szCs w:val="18"/>
              </w:rPr>
              <w:t>Yes</w:t>
            </w:r>
          </w:p>
        </w:tc>
        <w:tc>
          <w:tcPr>
            <w:tcW w:w="1984" w:type="dxa"/>
          </w:tcPr>
          <w:p w14:paraId="1800649B" w14:textId="77777777" w:rsidR="00561E39" w:rsidRPr="007F2D17" w:rsidRDefault="00561E39" w:rsidP="00593C91">
            <w:pPr>
              <w:jc w:val="center"/>
              <w:rPr>
                <w:sz w:val="18"/>
                <w:szCs w:val="18"/>
              </w:rPr>
            </w:pPr>
            <w:r w:rsidRPr="007F2D17">
              <w:rPr>
                <w:sz w:val="18"/>
                <w:szCs w:val="18"/>
              </w:rPr>
              <w:t>See*</w:t>
            </w:r>
          </w:p>
        </w:tc>
        <w:tc>
          <w:tcPr>
            <w:tcW w:w="2552" w:type="dxa"/>
          </w:tcPr>
          <w:p w14:paraId="62204CA6" w14:textId="77777777" w:rsidR="00561E39" w:rsidRPr="007F2D17" w:rsidRDefault="00561E39" w:rsidP="00593C91">
            <w:pPr>
              <w:jc w:val="center"/>
              <w:rPr>
                <w:sz w:val="18"/>
                <w:szCs w:val="18"/>
              </w:rPr>
            </w:pPr>
            <w:r w:rsidRPr="007F2D17">
              <w:rPr>
                <w:sz w:val="18"/>
                <w:szCs w:val="18"/>
              </w:rPr>
              <w:t>Yes</w:t>
            </w:r>
          </w:p>
        </w:tc>
        <w:tc>
          <w:tcPr>
            <w:tcW w:w="3434" w:type="dxa"/>
          </w:tcPr>
          <w:p w14:paraId="0C295AF1" w14:textId="77777777" w:rsidR="00561E39" w:rsidRPr="007F2D17" w:rsidRDefault="00561E39" w:rsidP="00593C91">
            <w:pPr>
              <w:jc w:val="center"/>
              <w:rPr>
                <w:sz w:val="18"/>
                <w:szCs w:val="18"/>
              </w:rPr>
            </w:pPr>
            <w:r w:rsidRPr="007F2D17">
              <w:rPr>
                <w:sz w:val="18"/>
                <w:szCs w:val="18"/>
              </w:rPr>
              <w:t>1 year in aggregate</w:t>
            </w:r>
          </w:p>
        </w:tc>
      </w:tr>
      <w:tr w:rsidR="00561E39" w:rsidRPr="007F2D17" w14:paraId="4C9B4E69" w14:textId="77777777" w:rsidTr="00786771">
        <w:tc>
          <w:tcPr>
            <w:tcW w:w="4219" w:type="dxa"/>
          </w:tcPr>
          <w:p w14:paraId="7717F9ED" w14:textId="77777777" w:rsidR="00561E39" w:rsidRPr="007F2D17" w:rsidRDefault="00561E39" w:rsidP="007548D6">
            <w:pPr>
              <w:rPr>
                <w:sz w:val="18"/>
                <w:szCs w:val="18"/>
              </w:rPr>
            </w:pPr>
            <w:r w:rsidRPr="007F2D17">
              <w:rPr>
                <w:b/>
                <w:sz w:val="18"/>
                <w:szCs w:val="18"/>
              </w:rPr>
              <w:t>Callable deposits</w:t>
            </w:r>
            <w:r w:rsidRPr="007F2D17">
              <w:rPr>
                <w:sz w:val="18"/>
                <w:szCs w:val="18"/>
              </w:rPr>
              <w:t xml:space="preserve"> with credit rated Banks and Building Societies, with maturities not exceeding 1 year</w:t>
            </w:r>
          </w:p>
        </w:tc>
        <w:tc>
          <w:tcPr>
            <w:tcW w:w="1985" w:type="dxa"/>
          </w:tcPr>
          <w:p w14:paraId="6DDBDF4C" w14:textId="77777777" w:rsidR="00561E39" w:rsidRPr="007F2D17" w:rsidRDefault="00561E39" w:rsidP="00593C91">
            <w:pPr>
              <w:jc w:val="center"/>
              <w:rPr>
                <w:sz w:val="18"/>
                <w:szCs w:val="18"/>
              </w:rPr>
            </w:pPr>
            <w:r w:rsidRPr="007F2D17">
              <w:rPr>
                <w:sz w:val="18"/>
                <w:szCs w:val="18"/>
              </w:rPr>
              <w:t>Yes</w:t>
            </w:r>
          </w:p>
        </w:tc>
        <w:tc>
          <w:tcPr>
            <w:tcW w:w="1984" w:type="dxa"/>
          </w:tcPr>
          <w:p w14:paraId="27125D86" w14:textId="77777777" w:rsidR="00561E39" w:rsidRPr="007F2D17" w:rsidRDefault="00561E39" w:rsidP="00593C91">
            <w:pPr>
              <w:jc w:val="center"/>
              <w:rPr>
                <w:sz w:val="18"/>
                <w:szCs w:val="18"/>
              </w:rPr>
            </w:pPr>
            <w:r w:rsidRPr="007F2D17">
              <w:rPr>
                <w:sz w:val="18"/>
                <w:szCs w:val="18"/>
              </w:rPr>
              <w:t>See*</w:t>
            </w:r>
          </w:p>
        </w:tc>
        <w:tc>
          <w:tcPr>
            <w:tcW w:w="2552" w:type="dxa"/>
          </w:tcPr>
          <w:p w14:paraId="069A9B59" w14:textId="77777777" w:rsidR="00561E39" w:rsidRPr="007F2D17" w:rsidRDefault="00561E39" w:rsidP="00593C91">
            <w:pPr>
              <w:jc w:val="center"/>
              <w:rPr>
                <w:sz w:val="18"/>
                <w:szCs w:val="18"/>
              </w:rPr>
            </w:pPr>
            <w:r w:rsidRPr="007F2D17">
              <w:rPr>
                <w:sz w:val="18"/>
                <w:szCs w:val="18"/>
              </w:rPr>
              <w:t>Yes</w:t>
            </w:r>
          </w:p>
        </w:tc>
        <w:tc>
          <w:tcPr>
            <w:tcW w:w="3434" w:type="dxa"/>
          </w:tcPr>
          <w:p w14:paraId="74466B9D" w14:textId="77777777" w:rsidR="00561E39" w:rsidRPr="007F2D17" w:rsidRDefault="00561E39" w:rsidP="00593C91">
            <w:pPr>
              <w:jc w:val="center"/>
              <w:rPr>
                <w:sz w:val="18"/>
                <w:szCs w:val="18"/>
              </w:rPr>
            </w:pPr>
            <w:r w:rsidRPr="007F2D17">
              <w:rPr>
                <w:sz w:val="18"/>
                <w:szCs w:val="18"/>
              </w:rPr>
              <w:t>1 year</w:t>
            </w:r>
          </w:p>
        </w:tc>
      </w:tr>
      <w:tr w:rsidR="00561E39" w:rsidRPr="007F2D17" w14:paraId="086225FF" w14:textId="77777777" w:rsidTr="00786771">
        <w:tc>
          <w:tcPr>
            <w:tcW w:w="4219" w:type="dxa"/>
          </w:tcPr>
          <w:p w14:paraId="7D1BED07" w14:textId="77777777" w:rsidR="00561E39" w:rsidRPr="007F2D17" w:rsidRDefault="00561E39" w:rsidP="007548D6">
            <w:pPr>
              <w:rPr>
                <w:b/>
                <w:sz w:val="18"/>
                <w:szCs w:val="18"/>
              </w:rPr>
            </w:pPr>
            <w:r w:rsidRPr="007F2D17">
              <w:rPr>
                <w:b/>
                <w:sz w:val="18"/>
                <w:szCs w:val="18"/>
              </w:rPr>
              <w:t xml:space="preserve">Call Account Facilities </w:t>
            </w:r>
            <w:r w:rsidRPr="007F2D17">
              <w:rPr>
                <w:sz w:val="18"/>
                <w:szCs w:val="18"/>
              </w:rPr>
              <w:t>with credit rated deposit takers (Banks and Building Societies)</w:t>
            </w:r>
          </w:p>
        </w:tc>
        <w:tc>
          <w:tcPr>
            <w:tcW w:w="1985" w:type="dxa"/>
          </w:tcPr>
          <w:p w14:paraId="33613269" w14:textId="77777777" w:rsidR="00561E39" w:rsidRPr="007F2D17" w:rsidRDefault="00561E39" w:rsidP="00593C91">
            <w:pPr>
              <w:jc w:val="center"/>
              <w:rPr>
                <w:sz w:val="18"/>
                <w:szCs w:val="18"/>
              </w:rPr>
            </w:pPr>
            <w:r w:rsidRPr="007F2D17">
              <w:rPr>
                <w:sz w:val="18"/>
                <w:szCs w:val="18"/>
              </w:rPr>
              <w:t>Yes</w:t>
            </w:r>
          </w:p>
        </w:tc>
        <w:tc>
          <w:tcPr>
            <w:tcW w:w="1984" w:type="dxa"/>
          </w:tcPr>
          <w:p w14:paraId="32D7AC34" w14:textId="77777777" w:rsidR="00561E39" w:rsidRPr="007F2D17" w:rsidRDefault="00561E39" w:rsidP="00593C91">
            <w:pPr>
              <w:jc w:val="center"/>
              <w:rPr>
                <w:sz w:val="18"/>
                <w:szCs w:val="18"/>
              </w:rPr>
            </w:pPr>
            <w:r w:rsidRPr="007F2D17">
              <w:rPr>
                <w:sz w:val="18"/>
                <w:szCs w:val="18"/>
              </w:rPr>
              <w:t>See*</w:t>
            </w:r>
          </w:p>
        </w:tc>
        <w:tc>
          <w:tcPr>
            <w:tcW w:w="2552" w:type="dxa"/>
          </w:tcPr>
          <w:p w14:paraId="16F61A5D" w14:textId="77777777" w:rsidR="00561E39" w:rsidRPr="007F2D17" w:rsidRDefault="00561E39" w:rsidP="00593C91">
            <w:pPr>
              <w:jc w:val="center"/>
              <w:rPr>
                <w:sz w:val="18"/>
                <w:szCs w:val="18"/>
              </w:rPr>
            </w:pPr>
            <w:r w:rsidRPr="007F2D17">
              <w:rPr>
                <w:sz w:val="18"/>
                <w:szCs w:val="18"/>
              </w:rPr>
              <w:t>Yes</w:t>
            </w:r>
          </w:p>
        </w:tc>
        <w:tc>
          <w:tcPr>
            <w:tcW w:w="3434" w:type="dxa"/>
          </w:tcPr>
          <w:p w14:paraId="7A5E2298" w14:textId="77777777" w:rsidR="00561E39" w:rsidRPr="007F2D17" w:rsidRDefault="00561E39" w:rsidP="00593C91">
            <w:pPr>
              <w:jc w:val="center"/>
              <w:rPr>
                <w:sz w:val="18"/>
                <w:szCs w:val="18"/>
              </w:rPr>
            </w:pPr>
            <w:r w:rsidRPr="007F2D17">
              <w:rPr>
                <w:sz w:val="18"/>
                <w:szCs w:val="18"/>
              </w:rPr>
              <w:t>n/a</w:t>
            </w:r>
          </w:p>
        </w:tc>
      </w:tr>
    </w:tbl>
    <w:p w14:paraId="38585605" w14:textId="77777777" w:rsidR="00593C91" w:rsidRPr="005B1B71" w:rsidRDefault="00593C91" w:rsidP="00593C91">
      <w:pPr>
        <w:jc w:val="center"/>
        <w:rPr>
          <w:b/>
          <w:sz w:val="20"/>
          <w:szCs w:val="20"/>
        </w:rPr>
      </w:pPr>
    </w:p>
    <w:p w14:paraId="2FE8C201" w14:textId="77777777" w:rsidR="00593C91" w:rsidRPr="005B1B71" w:rsidRDefault="00561E39" w:rsidP="00482E01">
      <w:pPr>
        <w:rPr>
          <w:i/>
          <w:sz w:val="20"/>
          <w:szCs w:val="20"/>
        </w:rPr>
      </w:pPr>
      <w:r w:rsidRPr="005B1B71">
        <w:rPr>
          <w:i/>
          <w:sz w:val="20"/>
          <w:szCs w:val="20"/>
        </w:rPr>
        <w:t>*Subject to approved credit rating criteria as determined in the Annual Investment Strategy of St Helens Council as the Authority’s agent, or as a result of delegation by the Council to the St Helens Treasurer in accordance with the Council’s Treasury Management Practices.</w:t>
      </w:r>
    </w:p>
    <w:p w14:paraId="0F675F15" w14:textId="77777777" w:rsidR="007F2D17" w:rsidRDefault="007F2D17" w:rsidP="00561E39">
      <w:pPr>
        <w:jc w:val="center"/>
        <w:rPr>
          <w:b/>
        </w:rPr>
      </w:pPr>
    </w:p>
    <w:p w14:paraId="0BB75D62" w14:textId="77777777" w:rsidR="007F2D17" w:rsidRDefault="007F2D17" w:rsidP="00561E39">
      <w:pPr>
        <w:jc w:val="center"/>
        <w:rPr>
          <w:b/>
        </w:rPr>
      </w:pPr>
    </w:p>
    <w:p w14:paraId="14862749" w14:textId="77777777" w:rsidR="00561E39" w:rsidRPr="00561E39" w:rsidRDefault="00561E39" w:rsidP="00561E39">
      <w:pPr>
        <w:jc w:val="center"/>
        <w:rPr>
          <w:b/>
        </w:rPr>
      </w:pPr>
      <w:r w:rsidRPr="00482E01">
        <w:rPr>
          <w:b/>
        </w:rPr>
        <w:lastRenderedPageBreak/>
        <w:t>Local g</w:t>
      </w:r>
      <w:r w:rsidR="005B1B71">
        <w:rPr>
          <w:b/>
        </w:rPr>
        <w:t xml:space="preserve">overnment Investments (England) - </w:t>
      </w:r>
      <w:r>
        <w:rPr>
          <w:b/>
        </w:rPr>
        <w:t>Non-</w:t>
      </w:r>
      <w:r w:rsidRPr="00482E01">
        <w:rPr>
          <w:b/>
        </w:rPr>
        <w:t>Specified Investments</w:t>
      </w:r>
    </w:p>
    <w:tbl>
      <w:tblPr>
        <w:tblStyle w:val="TableGrid"/>
        <w:tblW w:w="0" w:type="auto"/>
        <w:tblLook w:val="04A0" w:firstRow="1" w:lastRow="0" w:firstColumn="1" w:lastColumn="0" w:noHBand="0" w:noVBand="1"/>
      </w:tblPr>
      <w:tblGrid>
        <w:gridCol w:w="4113"/>
        <w:gridCol w:w="1980"/>
        <w:gridCol w:w="1973"/>
        <w:gridCol w:w="2520"/>
        <w:gridCol w:w="3362"/>
      </w:tblGrid>
      <w:tr w:rsidR="00561E39" w:rsidRPr="007F2D17" w14:paraId="453DE805" w14:textId="77777777" w:rsidTr="00786771">
        <w:tc>
          <w:tcPr>
            <w:tcW w:w="4219" w:type="dxa"/>
          </w:tcPr>
          <w:p w14:paraId="799DD536" w14:textId="77777777" w:rsidR="00561E39" w:rsidRPr="007F2D17" w:rsidRDefault="00561E39" w:rsidP="00714F81">
            <w:pPr>
              <w:jc w:val="center"/>
              <w:rPr>
                <w:b/>
                <w:sz w:val="18"/>
                <w:szCs w:val="18"/>
              </w:rPr>
            </w:pPr>
            <w:r w:rsidRPr="007F2D17">
              <w:rPr>
                <w:b/>
                <w:sz w:val="18"/>
                <w:szCs w:val="18"/>
              </w:rPr>
              <w:t>Investment</w:t>
            </w:r>
          </w:p>
        </w:tc>
        <w:tc>
          <w:tcPr>
            <w:tcW w:w="1985" w:type="dxa"/>
          </w:tcPr>
          <w:p w14:paraId="37097393" w14:textId="77777777" w:rsidR="00561E39" w:rsidRPr="007F2D17" w:rsidRDefault="00561E39" w:rsidP="00714F81">
            <w:pPr>
              <w:jc w:val="center"/>
              <w:rPr>
                <w:b/>
                <w:sz w:val="18"/>
                <w:szCs w:val="18"/>
              </w:rPr>
            </w:pPr>
            <w:r w:rsidRPr="007F2D17">
              <w:rPr>
                <w:b/>
                <w:sz w:val="18"/>
                <w:szCs w:val="18"/>
              </w:rPr>
              <w:t>Repayable / Redeemable within 12 months?</w:t>
            </w:r>
          </w:p>
        </w:tc>
        <w:tc>
          <w:tcPr>
            <w:tcW w:w="1984" w:type="dxa"/>
          </w:tcPr>
          <w:p w14:paraId="00A3AB18" w14:textId="77777777" w:rsidR="00561E39" w:rsidRPr="007F2D17" w:rsidRDefault="00561E39" w:rsidP="00714F81">
            <w:pPr>
              <w:jc w:val="center"/>
              <w:rPr>
                <w:b/>
                <w:sz w:val="18"/>
                <w:szCs w:val="18"/>
              </w:rPr>
            </w:pPr>
            <w:r w:rsidRPr="007F2D17">
              <w:rPr>
                <w:b/>
                <w:sz w:val="18"/>
                <w:szCs w:val="18"/>
              </w:rPr>
              <w:t>Security / Minimum credit rating</w:t>
            </w:r>
          </w:p>
        </w:tc>
        <w:tc>
          <w:tcPr>
            <w:tcW w:w="2552" w:type="dxa"/>
          </w:tcPr>
          <w:p w14:paraId="21E75F48" w14:textId="77777777" w:rsidR="00561E39" w:rsidRPr="007F2D17" w:rsidRDefault="00561E39" w:rsidP="00714F81">
            <w:pPr>
              <w:jc w:val="center"/>
              <w:rPr>
                <w:b/>
                <w:sz w:val="18"/>
                <w:szCs w:val="18"/>
              </w:rPr>
            </w:pPr>
            <w:r w:rsidRPr="007F2D17">
              <w:rPr>
                <w:b/>
                <w:sz w:val="18"/>
                <w:szCs w:val="18"/>
              </w:rPr>
              <w:t>Use for managing internal investments</w:t>
            </w:r>
          </w:p>
        </w:tc>
        <w:tc>
          <w:tcPr>
            <w:tcW w:w="3434" w:type="dxa"/>
          </w:tcPr>
          <w:p w14:paraId="443F2366" w14:textId="77777777" w:rsidR="00561E39" w:rsidRPr="007F2D17" w:rsidRDefault="00561E39" w:rsidP="00561E39">
            <w:pPr>
              <w:jc w:val="center"/>
              <w:rPr>
                <w:b/>
                <w:sz w:val="18"/>
                <w:szCs w:val="18"/>
              </w:rPr>
            </w:pPr>
            <w:r w:rsidRPr="007F2D17">
              <w:rPr>
                <w:b/>
                <w:sz w:val="18"/>
                <w:szCs w:val="18"/>
              </w:rPr>
              <w:t>Maximum maturity of Investments</w:t>
            </w:r>
          </w:p>
        </w:tc>
      </w:tr>
      <w:tr w:rsidR="00561E39" w:rsidRPr="007F2D17" w14:paraId="5FC10B79" w14:textId="77777777" w:rsidTr="00786771">
        <w:tc>
          <w:tcPr>
            <w:tcW w:w="4219" w:type="dxa"/>
          </w:tcPr>
          <w:p w14:paraId="72FACF72" w14:textId="77777777" w:rsidR="00561E39" w:rsidRPr="007F2D17" w:rsidRDefault="00561E39" w:rsidP="00561E39">
            <w:pPr>
              <w:rPr>
                <w:b/>
                <w:sz w:val="18"/>
                <w:szCs w:val="18"/>
              </w:rPr>
            </w:pPr>
            <w:r w:rsidRPr="007F2D17">
              <w:rPr>
                <w:b/>
                <w:sz w:val="18"/>
                <w:szCs w:val="18"/>
              </w:rPr>
              <w:t xml:space="preserve">Term Deposits </w:t>
            </w:r>
            <w:r w:rsidRPr="007F2D17">
              <w:rPr>
                <w:sz w:val="18"/>
                <w:szCs w:val="18"/>
              </w:rPr>
              <w:t>with credit rated deposit takers (Banks and Building Societies) with maturities greater than 1 year</w:t>
            </w:r>
          </w:p>
        </w:tc>
        <w:tc>
          <w:tcPr>
            <w:tcW w:w="1985" w:type="dxa"/>
          </w:tcPr>
          <w:p w14:paraId="1AF53B22" w14:textId="77777777" w:rsidR="00561E39" w:rsidRPr="007F2D17" w:rsidRDefault="00561E39" w:rsidP="00714F81">
            <w:pPr>
              <w:jc w:val="center"/>
              <w:rPr>
                <w:sz w:val="18"/>
                <w:szCs w:val="18"/>
              </w:rPr>
            </w:pPr>
            <w:r w:rsidRPr="007F2D17">
              <w:rPr>
                <w:sz w:val="18"/>
                <w:szCs w:val="18"/>
              </w:rPr>
              <w:t>No</w:t>
            </w:r>
          </w:p>
        </w:tc>
        <w:tc>
          <w:tcPr>
            <w:tcW w:w="1984" w:type="dxa"/>
          </w:tcPr>
          <w:p w14:paraId="4CEA3E6C" w14:textId="77777777" w:rsidR="00561E39" w:rsidRPr="007F2D17" w:rsidRDefault="00561E39" w:rsidP="00714F81">
            <w:pPr>
              <w:jc w:val="center"/>
              <w:rPr>
                <w:sz w:val="18"/>
                <w:szCs w:val="18"/>
              </w:rPr>
            </w:pPr>
            <w:r w:rsidRPr="007F2D17">
              <w:rPr>
                <w:sz w:val="18"/>
                <w:szCs w:val="18"/>
              </w:rPr>
              <w:t>See*</w:t>
            </w:r>
          </w:p>
        </w:tc>
        <w:tc>
          <w:tcPr>
            <w:tcW w:w="2552" w:type="dxa"/>
          </w:tcPr>
          <w:p w14:paraId="5169A27B" w14:textId="77777777" w:rsidR="00561E39" w:rsidRPr="007F2D17" w:rsidRDefault="00561E39" w:rsidP="00714F81">
            <w:pPr>
              <w:jc w:val="center"/>
              <w:rPr>
                <w:sz w:val="18"/>
                <w:szCs w:val="18"/>
              </w:rPr>
            </w:pPr>
            <w:r w:rsidRPr="007F2D17">
              <w:rPr>
                <w:sz w:val="18"/>
                <w:szCs w:val="18"/>
              </w:rPr>
              <w:t>Yes</w:t>
            </w:r>
          </w:p>
        </w:tc>
        <w:tc>
          <w:tcPr>
            <w:tcW w:w="3434" w:type="dxa"/>
          </w:tcPr>
          <w:p w14:paraId="5C8B1C14" w14:textId="77777777" w:rsidR="00561E39" w:rsidRPr="007F2D17" w:rsidRDefault="00561E39" w:rsidP="00714F81">
            <w:pPr>
              <w:jc w:val="center"/>
              <w:rPr>
                <w:sz w:val="18"/>
                <w:szCs w:val="18"/>
              </w:rPr>
            </w:pPr>
            <w:r w:rsidRPr="007F2D17">
              <w:rPr>
                <w:sz w:val="18"/>
                <w:szCs w:val="18"/>
              </w:rPr>
              <w:t>3 years</w:t>
            </w:r>
          </w:p>
        </w:tc>
      </w:tr>
      <w:tr w:rsidR="00561E39" w:rsidRPr="007F2D17" w14:paraId="5103AEE7" w14:textId="77777777" w:rsidTr="00786771">
        <w:tc>
          <w:tcPr>
            <w:tcW w:w="4219" w:type="dxa"/>
          </w:tcPr>
          <w:p w14:paraId="0BE2037E" w14:textId="77777777" w:rsidR="00561E39" w:rsidRPr="007F2D17" w:rsidRDefault="00561E39" w:rsidP="00561E39">
            <w:pPr>
              <w:rPr>
                <w:b/>
                <w:caps/>
                <w:sz w:val="18"/>
                <w:szCs w:val="18"/>
              </w:rPr>
            </w:pPr>
            <w:r w:rsidRPr="007F2D17">
              <w:rPr>
                <w:b/>
                <w:sz w:val="18"/>
                <w:szCs w:val="18"/>
              </w:rPr>
              <w:t xml:space="preserve">Term deposits </w:t>
            </w:r>
            <w:r w:rsidRPr="007F2D17">
              <w:rPr>
                <w:sz w:val="18"/>
                <w:szCs w:val="18"/>
              </w:rPr>
              <w:t>with UK Government or with UK local Authorities (i.e. Local Authorities as defined under section 23 of the 2003 Act) with maturities greater than 1 year</w:t>
            </w:r>
          </w:p>
        </w:tc>
        <w:tc>
          <w:tcPr>
            <w:tcW w:w="1985" w:type="dxa"/>
          </w:tcPr>
          <w:p w14:paraId="78ACA6C7" w14:textId="77777777" w:rsidR="00561E39" w:rsidRPr="007F2D17" w:rsidRDefault="00561E39" w:rsidP="00714F81">
            <w:pPr>
              <w:jc w:val="center"/>
              <w:rPr>
                <w:sz w:val="18"/>
                <w:szCs w:val="18"/>
              </w:rPr>
            </w:pPr>
            <w:r w:rsidRPr="007F2D17">
              <w:rPr>
                <w:sz w:val="18"/>
                <w:szCs w:val="18"/>
              </w:rPr>
              <w:t>No</w:t>
            </w:r>
          </w:p>
        </w:tc>
        <w:tc>
          <w:tcPr>
            <w:tcW w:w="1984" w:type="dxa"/>
          </w:tcPr>
          <w:p w14:paraId="12870E5E" w14:textId="77777777" w:rsidR="00561E39" w:rsidRPr="007F2D17" w:rsidRDefault="00561E39" w:rsidP="00714F81">
            <w:pPr>
              <w:jc w:val="center"/>
              <w:rPr>
                <w:sz w:val="18"/>
                <w:szCs w:val="18"/>
              </w:rPr>
            </w:pPr>
            <w:r w:rsidRPr="007F2D17">
              <w:rPr>
                <w:sz w:val="18"/>
                <w:szCs w:val="18"/>
              </w:rPr>
              <w:t>High security although local authorities are not credit rated</w:t>
            </w:r>
          </w:p>
        </w:tc>
        <w:tc>
          <w:tcPr>
            <w:tcW w:w="2552" w:type="dxa"/>
          </w:tcPr>
          <w:p w14:paraId="623ED92E" w14:textId="77777777" w:rsidR="00561E39" w:rsidRPr="007F2D17" w:rsidRDefault="00561E39" w:rsidP="00714F81">
            <w:pPr>
              <w:jc w:val="center"/>
              <w:rPr>
                <w:sz w:val="18"/>
                <w:szCs w:val="18"/>
              </w:rPr>
            </w:pPr>
            <w:r w:rsidRPr="007F2D17">
              <w:rPr>
                <w:sz w:val="18"/>
                <w:szCs w:val="18"/>
              </w:rPr>
              <w:t>Yes</w:t>
            </w:r>
          </w:p>
        </w:tc>
        <w:tc>
          <w:tcPr>
            <w:tcW w:w="3434" w:type="dxa"/>
          </w:tcPr>
          <w:p w14:paraId="201E99EC" w14:textId="77777777" w:rsidR="00561E39" w:rsidRPr="007F2D17" w:rsidRDefault="00561E39" w:rsidP="00714F81">
            <w:pPr>
              <w:jc w:val="center"/>
              <w:rPr>
                <w:sz w:val="18"/>
                <w:szCs w:val="18"/>
              </w:rPr>
            </w:pPr>
            <w:r w:rsidRPr="007F2D17">
              <w:rPr>
                <w:sz w:val="18"/>
                <w:szCs w:val="18"/>
              </w:rPr>
              <w:t>3 years</w:t>
            </w:r>
          </w:p>
        </w:tc>
      </w:tr>
      <w:tr w:rsidR="00561E39" w:rsidRPr="007F2D17" w14:paraId="33AF3570" w14:textId="77777777" w:rsidTr="00786771">
        <w:tc>
          <w:tcPr>
            <w:tcW w:w="4219" w:type="dxa"/>
          </w:tcPr>
          <w:p w14:paraId="1559A84A" w14:textId="77777777" w:rsidR="00561E39" w:rsidRPr="007F2D17" w:rsidRDefault="00561E39" w:rsidP="00561E39">
            <w:pPr>
              <w:rPr>
                <w:b/>
                <w:sz w:val="18"/>
                <w:szCs w:val="18"/>
              </w:rPr>
            </w:pPr>
            <w:r w:rsidRPr="007F2D17">
              <w:rPr>
                <w:b/>
                <w:sz w:val="18"/>
                <w:szCs w:val="18"/>
              </w:rPr>
              <w:t xml:space="preserve">Certificates of Deposit </w:t>
            </w:r>
            <w:r w:rsidRPr="007F2D17">
              <w:rPr>
                <w:sz w:val="18"/>
                <w:szCs w:val="18"/>
              </w:rPr>
              <w:t xml:space="preserve">with credit rated deposit takers (Banks and Building Societies) </w:t>
            </w:r>
            <w:r w:rsidRPr="007F2D17">
              <w:rPr>
                <w:i/>
                <w:sz w:val="18"/>
                <w:szCs w:val="18"/>
              </w:rPr>
              <w:t>Custodial arrangement required prior to purchase</w:t>
            </w:r>
          </w:p>
        </w:tc>
        <w:tc>
          <w:tcPr>
            <w:tcW w:w="1985" w:type="dxa"/>
          </w:tcPr>
          <w:p w14:paraId="2B99E697" w14:textId="77777777" w:rsidR="00561E39" w:rsidRPr="007F2D17" w:rsidRDefault="00714F81" w:rsidP="00714F81">
            <w:pPr>
              <w:jc w:val="center"/>
              <w:rPr>
                <w:sz w:val="18"/>
                <w:szCs w:val="18"/>
              </w:rPr>
            </w:pPr>
            <w:r w:rsidRPr="007F2D17">
              <w:rPr>
                <w:sz w:val="18"/>
                <w:szCs w:val="18"/>
              </w:rPr>
              <w:t>Yes</w:t>
            </w:r>
          </w:p>
        </w:tc>
        <w:tc>
          <w:tcPr>
            <w:tcW w:w="1984" w:type="dxa"/>
          </w:tcPr>
          <w:p w14:paraId="4A30022D" w14:textId="77777777" w:rsidR="00561E39" w:rsidRPr="007F2D17" w:rsidRDefault="00714F81" w:rsidP="00714F81">
            <w:pPr>
              <w:jc w:val="center"/>
              <w:rPr>
                <w:sz w:val="18"/>
                <w:szCs w:val="18"/>
              </w:rPr>
            </w:pPr>
            <w:r w:rsidRPr="007F2D17">
              <w:rPr>
                <w:sz w:val="18"/>
                <w:szCs w:val="18"/>
              </w:rPr>
              <w:t>See*</w:t>
            </w:r>
          </w:p>
        </w:tc>
        <w:tc>
          <w:tcPr>
            <w:tcW w:w="2552" w:type="dxa"/>
          </w:tcPr>
          <w:p w14:paraId="2ED05197" w14:textId="77777777" w:rsidR="00561E39" w:rsidRPr="007F2D17" w:rsidRDefault="00714F81" w:rsidP="00714F81">
            <w:pPr>
              <w:jc w:val="center"/>
              <w:rPr>
                <w:sz w:val="18"/>
                <w:szCs w:val="18"/>
              </w:rPr>
            </w:pPr>
            <w:r w:rsidRPr="007F2D17">
              <w:rPr>
                <w:sz w:val="18"/>
                <w:szCs w:val="18"/>
              </w:rPr>
              <w:t>Yes – after consultation with external Treasury Consultants</w:t>
            </w:r>
          </w:p>
        </w:tc>
        <w:tc>
          <w:tcPr>
            <w:tcW w:w="3434" w:type="dxa"/>
          </w:tcPr>
          <w:p w14:paraId="08D6CE26" w14:textId="77777777" w:rsidR="00561E39" w:rsidRPr="007F2D17" w:rsidRDefault="00714F81" w:rsidP="00714F81">
            <w:pPr>
              <w:jc w:val="center"/>
              <w:rPr>
                <w:sz w:val="18"/>
                <w:szCs w:val="18"/>
              </w:rPr>
            </w:pPr>
            <w:r w:rsidRPr="007F2D17">
              <w:rPr>
                <w:sz w:val="18"/>
                <w:szCs w:val="18"/>
              </w:rPr>
              <w:t>3 years</w:t>
            </w:r>
          </w:p>
        </w:tc>
      </w:tr>
      <w:tr w:rsidR="00714F81" w:rsidRPr="007F2D17" w14:paraId="4432A61A" w14:textId="77777777" w:rsidTr="00786771">
        <w:tc>
          <w:tcPr>
            <w:tcW w:w="4219" w:type="dxa"/>
          </w:tcPr>
          <w:p w14:paraId="63A1D4EA" w14:textId="77777777" w:rsidR="00714F81" w:rsidRPr="007F2D17" w:rsidRDefault="00714F81" w:rsidP="00561E39">
            <w:pPr>
              <w:rPr>
                <w:b/>
                <w:sz w:val="18"/>
                <w:szCs w:val="18"/>
              </w:rPr>
            </w:pPr>
            <w:r w:rsidRPr="007F2D17">
              <w:rPr>
                <w:b/>
                <w:sz w:val="18"/>
                <w:szCs w:val="18"/>
              </w:rPr>
              <w:t xml:space="preserve">Callable deposits </w:t>
            </w:r>
            <w:r w:rsidRPr="007F2D17">
              <w:rPr>
                <w:sz w:val="18"/>
                <w:szCs w:val="18"/>
              </w:rPr>
              <w:t>with credit rated deposit takers (Banks and Building Societies) with maturities greater than 1 year</w:t>
            </w:r>
          </w:p>
        </w:tc>
        <w:tc>
          <w:tcPr>
            <w:tcW w:w="1985" w:type="dxa"/>
          </w:tcPr>
          <w:p w14:paraId="5271FCEF" w14:textId="77777777" w:rsidR="00714F81" w:rsidRPr="007F2D17" w:rsidRDefault="00714F81" w:rsidP="00714F81">
            <w:pPr>
              <w:jc w:val="center"/>
              <w:rPr>
                <w:sz w:val="18"/>
                <w:szCs w:val="18"/>
              </w:rPr>
            </w:pPr>
            <w:r w:rsidRPr="007F2D17">
              <w:rPr>
                <w:sz w:val="18"/>
                <w:szCs w:val="18"/>
              </w:rPr>
              <w:t>Potentially</w:t>
            </w:r>
          </w:p>
        </w:tc>
        <w:tc>
          <w:tcPr>
            <w:tcW w:w="1984" w:type="dxa"/>
          </w:tcPr>
          <w:p w14:paraId="7A013430" w14:textId="77777777" w:rsidR="00714F81" w:rsidRPr="007F2D17" w:rsidRDefault="00714F81" w:rsidP="00714F81">
            <w:pPr>
              <w:jc w:val="center"/>
              <w:rPr>
                <w:sz w:val="18"/>
                <w:szCs w:val="18"/>
              </w:rPr>
            </w:pPr>
            <w:r w:rsidRPr="007F2D17">
              <w:rPr>
                <w:sz w:val="18"/>
                <w:szCs w:val="18"/>
              </w:rPr>
              <w:t>See*</w:t>
            </w:r>
          </w:p>
        </w:tc>
        <w:tc>
          <w:tcPr>
            <w:tcW w:w="2552" w:type="dxa"/>
          </w:tcPr>
          <w:p w14:paraId="1B3C0DB3" w14:textId="77777777" w:rsidR="00714F81" w:rsidRPr="007F2D17" w:rsidRDefault="00714F81" w:rsidP="00714F81">
            <w:pPr>
              <w:jc w:val="center"/>
              <w:rPr>
                <w:sz w:val="18"/>
                <w:szCs w:val="18"/>
              </w:rPr>
            </w:pPr>
            <w:r w:rsidRPr="007F2D17">
              <w:rPr>
                <w:sz w:val="18"/>
                <w:szCs w:val="18"/>
              </w:rPr>
              <w:t>Yes</w:t>
            </w:r>
          </w:p>
        </w:tc>
        <w:tc>
          <w:tcPr>
            <w:tcW w:w="3434" w:type="dxa"/>
          </w:tcPr>
          <w:p w14:paraId="69E65408" w14:textId="77777777" w:rsidR="00714F81" w:rsidRPr="007F2D17" w:rsidRDefault="00714F81" w:rsidP="00714F81">
            <w:pPr>
              <w:jc w:val="center"/>
              <w:rPr>
                <w:sz w:val="18"/>
                <w:szCs w:val="18"/>
              </w:rPr>
            </w:pPr>
            <w:r w:rsidRPr="007F2D17">
              <w:rPr>
                <w:sz w:val="18"/>
                <w:szCs w:val="18"/>
              </w:rPr>
              <w:t>3 years</w:t>
            </w:r>
          </w:p>
        </w:tc>
      </w:tr>
      <w:tr w:rsidR="00714F81" w:rsidRPr="007F2D17" w14:paraId="57B346EB" w14:textId="77777777" w:rsidTr="00786771">
        <w:tc>
          <w:tcPr>
            <w:tcW w:w="4219" w:type="dxa"/>
          </w:tcPr>
          <w:p w14:paraId="661AFC33" w14:textId="77777777" w:rsidR="00714F81" w:rsidRPr="007F2D17" w:rsidRDefault="00714F81" w:rsidP="00561E39">
            <w:pPr>
              <w:rPr>
                <w:b/>
                <w:sz w:val="18"/>
                <w:szCs w:val="18"/>
              </w:rPr>
            </w:pPr>
            <w:r w:rsidRPr="007F2D17">
              <w:rPr>
                <w:b/>
                <w:sz w:val="18"/>
                <w:szCs w:val="18"/>
              </w:rPr>
              <w:t xml:space="preserve">Forward deposits </w:t>
            </w:r>
            <w:r w:rsidRPr="007F2D17">
              <w:rPr>
                <w:sz w:val="18"/>
                <w:szCs w:val="18"/>
              </w:rPr>
              <w:t>with</w:t>
            </w:r>
            <w:r w:rsidR="00786771" w:rsidRPr="007F2D17">
              <w:rPr>
                <w:sz w:val="18"/>
                <w:szCs w:val="18"/>
              </w:rPr>
              <w:t xml:space="preserve"> credit rated Banks and Building Societies for periods &gt; 1 year (i.e. negotiated deal period plus period of investment)</w:t>
            </w:r>
          </w:p>
        </w:tc>
        <w:tc>
          <w:tcPr>
            <w:tcW w:w="1985" w:type="dxa"/>
          </w:tcPr>
          <w:p w14:paraId="344A18AE" w14:textId="77777777" w:rsidR="00714F81" w:rsidRPr="007F2D17" w:rsidRDefault="00786771" w:rsidP="00714F81">
            <w:pPr>
              <w:jc w:val="center"/>
              <w:rPr>
                <w:sz w:val="18"/>
                <w:szCs w:val="18"/>
              </w:rPr>
            </w:pPr>
            <w:r w:rsidRPr="007F2D17">
              <w:rPr>
                <w:sz w:val="18"/>
                <w:szCs w:val="18"/>
              </w:rPr>
              <w:t>No</w:t>
            </w:r>
          </w:p>
        </w:tc>
        <w:tc>
          <w:tcPr>
            <w:tcW w:w="1984" w:type="dxa"/>
          </w:tcPr>
          <w:p w14:paraId="19A1911F" w14:textId="77777777" w:rsidR="00714F81" w:rsidRPr="007F2D17" w:rsidRDefault="00786771" w:rsidP="00714F81">
            <w:pPr>
              <w:jc w:val="center"/>
              <w:rPr>
                <w:sz w:val="18"/>
                <w:szCs w:val="18"/>
              </w:rPr>
            </w:pPr>
            <w:r w:rsidRPr="007F2D17">
              <w:rPr>
                <w:sz w:val="18"/>
                <w:szCs w:val="18"/>
              </w:rPr>
              <w:t>See*</w:t>
            </w:r>
          </w:p>
        </w:tc>
        <w:tc>
          <w:tcPr>
            <w:tcW w:w="2552" w:type="dxa"/>
          </w:tcPr>
          <w:p w14:paraId="664917CB" w14:textId="77777777" w:rsidR="00714F81" w:rsidRPr="007F2D17" w:rsidRDefault="00786771" w:rsidP="00714F81">
            <w:pPr>
              <w:jc w:val="center"/>
              <w:rPr>
                <w:sz w:val="18"/>
                <w:szCs w:val="18"/>
              </w:rPr>
            </w:pPr>
            <w:r w:rsidRPr="007F2D17">
              <w:rPr>
                <w:sz w:val="18"/>
                <w:szCs w:val="18"/>
              </w:rPr>
              <w:t>Yes – after consultation / advice from eternal Treasury Consultants</w:t>
            </w:r>
          </w:p>
        </w:tc>
        <w:tc>
          <w:tcPr>
            <w:tcW w:w="3434" w:type="dxa"/>
          </w:tcPr>
          <w:p w14:paraId="1D22B62B" w14:textId="77777777" w:rsidR="00714F81" w:rsidRPr="007F2D17" w:rsidRDefault="00786771" w:rsidP="00714F81">
            <w:pPr>
              <w:jc w:val="center"/>
              <w:rPr>
                <w:sz w:val="18"/>
                <w:szCs w:val="18"/>
              </w:rPr>
            </w:pPr>
            <w:r w:rsidRPr="007F2D17">
              <w:rPr>
                <w:sz w:val="18"/>
                <w:szCs w:val="18"/>
              </w:rPr>
              <w:t>3 years in aggregate</w:t>
            </w:r>
          </w:p>
        </w:tc>
      </w:tr>
      <w:tr w:rsidR="00786771" w:rsidRPr="007F2D17" w14:paraId="2FF82DA4" w14:textId="77777777" w:rsidTr="00786771">
        <w:tc>
          <w:tcPr>
            <w:tcW w:w="4219" w:type="dxa"/>
          </w:tcPr>
          <w:p w14:paraId="13B48129" w14:textId="77777777" w:rsidR="00786771" w:rsidRPr="007F2D17" w:rsidRDefault="00786771" w:rsidP="00561E39">
            <w:pPr>
              <w:rPr>
                <w:b/>
                <w:sz w:val="18"/>
                <w:szCs w:val="18"/>
              </w:rPr>
            </w:pPr>
            <w:r w:rsidRPr="007F2D17">
              <w:rPr>
                <w:b/>
                <w:sz w:val="18"/>
                <w:szCs w:val="18"/>
              </w:rPr>
              <w:t xml:space="preserve">Structured Deposits </w:t>
            </w:r>
            <w:r w:rsidRPr="007F2D17">
              <w:rPr>
                <w:sz w:val="18"/>
                <w:szCs w:val="18"/>
              </w:rPr>
              <w:t>where investment returns are determinant on how specified interest rate structures move over a determined period</w:t>
            </w:r>
          </w:p>
        </w:tc>
        <w:tc>
          <w:tcPr>
            <w:tcW w:w="1985" w:type="dxa"/>
          </w:tcPr>
          <w:p w14:paraId="0ECBC8EE" w14:textId="77777777" w:rsidR="00786771" w:rsidRPr="007F2D17" w:rsidRDefault="00786771" w:rsidP="00714F81">
            <w:pPr>
              <w:jc w:val="center"/>
              <w:rPr>
                <w:sz w:val="18"/>
                <w:szCs w:val="18"/>
              </w:rPr>
            </w:pPr>
            <w:r w:rsidRPr="007F2D17">
              <w:rPr>
                <w:sz w:val="18"/>
                <w:szCs w:val="18"/>
              </w:rPr>
              <w:t>Potentially</w:t>
            </w:r>
          </w:p>
        </w:tc>
        <w:tc>
          <w:tcPr>
            <w:tcW w:w="1984" w:type="dxa"/>
          </w:tcPr>
          <w:p w14:paraId="3AE80D6E" w14:textId="77777777" w:rsidR="00786771" w:rsidRPr="007F2D17" w:rsidRDefault="00786771" w:rsidP="00714F81">
            <w:pPr>
              <w:jc w:val="center"/>
              <w:rPr>
                <w:sz w:val="18"/>
                <w:szCs w:val="18"/>
              </w:rPr>
            </w:pPr>
            <w:r w:rsidRPr="007F2D17">
              <w:rPr>
                <w:sz w:val="18"/>
                <w:szCs w:val="18"/>
              </w:rPr>
              <w:t>n/a</w:t>
            </w:r>
          </w:p>
        </w:tc>
        <w:tc>
          <w:tcPr>
            <w:tcW w:w="2552" w:type="dxa"/>
          </w:tcPr>
          <w:p w14:paraId="73580CED" w14:textId="77777777" w:rsidR="00786771" w:rsidRPr="007F2D17" w:rsidRDefault="00786771" w:rsidP="00714F81">
            <w:pPr>
              <w:jc w:val="center"/>
              <w:rPr>
                <w:sz w:val="18"/>
                <w:szCs w:val="18"/>
              </w:rPr>
            </w:pPr>
            <w:r w:rsidRPr="007F2D17">
              <w:rPr>
                <w:sz w:val="18"/>
                <w:szCs w:val="18"/>
              </w:rPr>
              <w:t>Potentially – after consultation / advice from eternal Treasury Consultants</w:t>
            </w:r>
          </w:p>
        </w:tc>
        <w:tc>
          <w:tcPr>
            <w:tcW w:w="3434" w:type="dxa"/>
          </w:tcPr>
          <w:p w14:paraId="13F4C361" w14:textId="77777777" w:rsidR="00786771" w:rsidRPr="007F2D17" w:rsidRDefault="00786771" w:rsidP="00714F81">
            <w:pPr>
              <w:jc w:val="center"/>
              <w:rPr>
                <w:sz w:val="18"/>
                <w:szCs w:val="18"/>
              </w:rPr>
            </w:pPr>
            <w:r w:rsidRPr="007F2D17">
              <w:rPr>
                <w:sz w:val="18"/>
                <w:szCs w:val="18"/>
              </w:rPr>
              <w:t>3 years</w:t>
            </w:r>
          </w:p>
        </w:tc>
      </w:tr>
    </w:tbl>
    <w:p w14:paraId="5EFBB867" w14:textId="77777777" w:rsidR="00561E39" w:rsidRPr="005B1B71" w:rsidRDefault="00561E39" w:rsidP="00482E01">
      <w:pPr>
        <w:rPr>
          <w:sz w:val="20"/>
          <w:szCs w:val="20"/>
        </w:rPr>
      </w:pPr>
    </w:p>
    <w:p w14:paraId="79DE40B9" w14:textId="77777777" w:rsidR="00786771" w:rsidRDefault="00786771" w:rsidP="00786771">
      <w:pPr>
        <w:rPr>
          <w:i/>
          <w:sz w:val="20"/>
          <w:szCs w:val="20"/>
        </w:rPr>
      </w:pPr>
      <w:r w:rsidRPr="005B1B71">
        <w:rPr>
          <w:i/>
          <w:sz w:val="20"/>
          <w:szCs w:val="20"/>
        </w:rPr>
        <w:t>*Subject to approved credit rating criteria as determined in the Annual Investment Strategy of St Helens Council as the Authority’s agent, or as a result of delegation by the Council to the St Helens Treasurer in accordance with the Council’s Treasury Management Practices.</w:t>
      </w:r>
    </w:p>
    <w:p w14:paraId="5E65FC54" w14:textId="77777777" w:rsidR="007F2D17" w:rsidRDefault="007F2D17" w:rsidP="00482E01">
      <w:pPr>
        <w:rPr>
          <w:b/>
        </w:rPr>
      </w:pPr>
    </w:p>
    <w:p w14:paraId="098E1DED" w14:textId="77777777" w:rsidR="007F2D17" w:rsidRDefault="007F2D17" w:rsidP="00482E01">
      <w:pPr>
        <w:rPr>
          <w:b/>
        </w:rPr>
      </w:pPr>
    </w:p>
    <w:p w14:paraId="2C1EC6CB" w14:textId="77777777" w:rsidR="007F2D17" w:rsidRDefault="007F2D17" w:rsidP="00482E01">
      <w:pPr>
        <w:rPr>
          <w:b/>
        </w:rPr>
      </w:pPr>
    </w:p>
    <w:p w14:paraId="33BD2E57" w14:textId="77777777" w:rsidR="007F2D17" w:rsidRDefault="007F2D17" w:rsidP="00482E01">
      <w:pPr>
        <w:rPr>
          <w:b/>
        </w:rPr>
      </w:pPr>
    </w:p>
    <w:p w14:paraId="7BA79C37" w14:textId="77777777" w:rsidR="00786771" w:rsidRPr="00C06070" w:rsidRDefault="006B42CA" w:rsidP="00482E01">
      <w:pPr>
        <w:rPr>
          <w:b/>
        </w:rPr>
      </w:pPr>
      <w:r>
        <w:rPr>
          <w:b/>
        </w:rPr>
        <w:t xml:space="preserve">Counterparty Criteria </w:t>
      </w:r>
      <w:r w:rsidR="007F2D17">
        <w:rPr>
          <w:b/>
        </w:rPr>
        <w:t>2020/21</w:t>
      </w:r>
    </w:p>
    <w:tbl>
      <w:tblPr>
        <w:tblStyle w:val="TableGrid"/>
        <w:tblW w:w="0" w:type="auto"/>
        <w:tblLook w:val="04A0" w:firstRow="1" w:lastRow="0" w:firstColumn="1" w:lastColumn="0" w:noHBand="0" w:noVBand="1"/>
      </w:tblPr>
      <w:tblGrid>
        <w:gridCol w:w="515"/>
        <w:gridCol w:w="3508"/>
        <w:gridCol w:w="1410"/>
        <w:gridCol w:w="1410"/>
        <w:gridCol w:w="1383"/>
        <w:gridCol w:w="1287"/>
        <w:gridCol w:w="1521"/>
        <w:gridCol w:w="1419"/>
        <w:gridCol w:w="1495"/>
      </w:tblGrid>
      <w:tr w:rsidR="00895689" w:rsidRPr="007F2D17" w14:paraId="4CBB2168" w14:textId="77777777" w:rsidTr="003859CD">
        <w:tc>
          <w:tcPr>
            <w:tcW w:w="4503" w:type="dxa"/>
            <w:gridSpan w:val="2"/>
            <w:shd w:val="clear" w:color="auto" w:fill="F2F2F2" w:themeFill="background1" w:themeFillShade="F2"/>
          </w:tcPr>
          <w:p w14:paraId="6820D74C" w14:textId="77777777" w:rsidR="00895689" w:rsidRPr="007F2D17" w:rsidRDefault="00895689" w:rsidP="00482E01">
            <w:pPr>
              <w:rPr>
                <w:rFonts w:cstheme="minorHAnsi"/>
                <w:b/>
                <w:sz w:val="18"/>
                <w:szCs w:val="18"/>
              </w:rPr>
            </w:pPr>
            <w:r w:rsidRPr="007F2D17">
              <w:rPr>
                <w:rFonts w:cstheme="minorHAnsi"/>
                <w:b/>
                <w:sz w:val="18"/>
                <w:szCs w:val="18"/>
              </w:rPr>
              <w:t>Counterparty category</w:t>
            </w:r>
          </w:p>
        </w:tc>
        <w:tc>
          <w:tcPr>
            <w:tcW w:w="7087" w:type="dxa"/>
            <w:gridSpan w:val="5"/>
            <w:shd w:val="clear" w:color="auto" w:fill="F2F2F2" w:themeFill="background1" w:themeFillShade="F2"/>
          </w:tcPr>
          <w:p w14:paraId="4EF07F69" w14:textId="77777777" w:rsidR="00895689" w:rsidRPr="007F2D17" w:rsidRDefault="00895689" w:rsidP="00482E01">
            <w:pPr>
              <w:rPr>
                <w:rFonts w:cstheme="minorHAnsi"/>
                <w:b/>
                <w:sz w:val="18"/>
                <w:szCs w:val="18"/>
              </w:rPr>
            </w:pPr>
            <w:r w:rsidRPr="007F2D17">
              <w:rPr>
                <w:rFonts w:cstheme="minorHAnsi"/>
                <w:b/>
                <w:sz w:val="18"/>
                <w:szCs w:val="18"/>
              </w:rPr>
              <w:t>Credit ratings</w:t>
            </w:r>
          </w:p>
        </w:tc>
        <w:tc>
          <w:tcPr>
            <w:tcW w:w="1418" w:type="dxa"/>
            <w:shd w:val="clear" w:color="auto" w:fill="F2F2F2" w:themeFill="background1" w:themeFillShade="F2"/>
          </w:tcPr>
          <w:p w14:paraId="7B54C232" w14:textId="77777777" w:rsidR="00895689" w:rsidRPr="007F2D17" w:rsidRDefault="00895689" w:rsidP="005303AF">
            <w:pPr>
              <w:ind w:left="0" w:firstLine="0"/>
              <w:rPr>
                <w:rFonts w:cstheme="minorHAnsi"/>
                <w:b/>
                <w:sz w:val="18"/>
                <w:szCs w:val="18"/>
              </w:rPr>
            </w:pPr>
            <w:r w:rsidRPr="007F2D17">
              <w:rPr>
                <w:rFonts w:cstheme="minorHAnsi"/>
                <w:b/>
                <w:sz w:val="18"/>
                <w:szCs w:val="18"/>
              </w:rPr>
              <w:t>Maximum Investment</w:t>
            </w:r>
          </w:p>
          <w:p w14:paraId="7DAAFD4F" w14:textId="77777777" w:rsidR="00895689" w:rsidRPr="007F2D17" w:rsidRDefault="00895689" w:rsidP="005303AF">
            <w:pPr>
              <w:ind w:left="0" w:firstLine="0"/>
              <w:rPr>
                <w:rFonts w:cstheme="minorHAnsi"/>
                <w:b/>
                <w:sz w:val="18"/>
                <w:szCs w:val="18"/>
              </w:rPr>
            </w:pPr>
            <w:r w:rsidRPr="007F2D17">
              <w:rPr>
                <w:rFonts w:cstheme="minorHAnsi"/>
                <w:b/>
                <w:sz w:val="18"/>
                <w:szCs w:val="18"/>
              </w:rPr>
              <w:t>(1)</w:t>
            </w:r>
          </w:p>
        </w:tc>
        <w:tc>
          <w:tcPr>
            <w:tcW w:w="1166" w:type="dxa"/>
            <w:shd w:val="clear" w:color="auto" w:fill="F2F2F2" w:themeFill="background1" w:themeFillShade="F2"/>
          </w:tcPr>
          <w:p w14:paraId="23C4B75D" w14:textId="77777777" w:rsidR="00895689" w:rsidRPr="007F2D17" w:rsidRDefault="00895689" w:rsidP="005303AF">
            <w:pPr>
              <w:ind w:left="0" w:firstLine="0"/>
              <w:rPr>
                <w:rFonts w:cstheme="minorHAnsi"/>
                <w:b/>
                <w:sz w:val="18"/>
                <w:szCs w:val="18"/>
              </w:rPr>
            </w:pPr>
            <w:r w:rsidRPr="007F2D17">
              <w:rPr>
                <w:rFonts w:cstheme="minorHAnsi"/>
                <w:b/>
                <w:sz w:val="18"/>
                <w:szCs w:val="18"/>
              </w:rPr>
              <w:t>Maximum period</w:t>
            </w:r>
          </w:p>
        </w:tc>
      </w:tr>
      <w:tr w:rsidR="00786771" w:rsidRPr="007F2D17" w14:paraId="10B2B4AD" w14:textId="77777777" w:rsidTr="003859CD">
        <w:tc>
          <w:tcPr>
            <w:tcW w:w="534" w:type="dxa"/>
          </w:tcPr>
          <w:p w14:paraId="41FD7C95" w14:textId="77777777" w:rsidR="00786771" w:rsidRPr="007F2D17" w:rsidRDefault="00786771" w:rsidP="00C06070">
            <w:pPr>
              <w:spacing w:before="240"/>
              <w:rPr>
                <w:rFonts w:cstheme="minorHAnsi"/>
                <w:sz w:val="18"/>
                <w:szCs w:val="18"/>
              </w:rPr>
            </w:pPr>
            <w:r w:rsidRPr="007F2D17">
              <w:rPr>
                <w:rFonts w:cstheme="minorHAnsi"/>
                <w:sz w:val="18"/>
                <w:szCs w:val="18"/>
              </w:rPr>
              <w:t>(</w:t>
            </w:r>
            <w:proofErr w:type="spellStart"/>
            <w:r w:rsidRPr="007F2D17">
              <w:rPr>
                <w:rFonts w:cstheme="minorHAnsi"/>
                <w:sz w:val="18"/>
                <w:szCs w:val="18"/>
              </w:rPr>
              <w:t>i</w:t>
            </w:r>
            <w:proofErr w:type="spellEnd"/>
            <w:r w:rsidRPr="007F2D17">
              <w:rPr>
                <w:rFonts w:cstheme="minorHAnsi"/>
                <w:sz w:val="18"/>
                <w:szCs w:val="18"/>
              </w:rPr>
              <w:t>)</w:t>
            </w:r>
          </w:p>
        </w:tc>
        <w:tc>
          <w:tcPr>
            <w:tcW w:w="3969" w:type="dxa"/>
          </w:tcPr>
          <w:p w14:paraId="34A125E3" w14:textId="77777777" w:rsidR="00786771" w:rsidRPr="007F2D17" w:rsidRDefault="00786771" w:rsidP="00C06070">
            <w:pPr>
              <w:spacing w:before="240"/>
              <w:rPr>
                <w:rFonts w:cstheme="minorHAnsi"/>
                <w:sz w:val="18"/>
                <w:szCs w:val="18"/>
              </w:rPr>
            </w:pPr>
            <w:r w:rsidRPr="007F2D17">
              <w:rPr>
                <w:rFonts w:cstheme="minorHAnsi"/>
                <w:sz w:val="18"/>
                <w:szCs w:val="18"/>
              </w:rPr>
              <w:t>Part Nationalised banks</w:t>
            </w:r>
          </w:p>
        </w:tc>
        <w:tc>
          <w:tcPr>
            <w:tcW w:w="7087" w:type="dxa"/>
            <w:gridSpan w:val="5"/>
          </w:tcPr>
          <w:p w14:paraId="2537536D" w14:textId="77777777" w:rsidR="00786771" w:rsidRPr="007F2D17" w:rsidRDefault="00786771" w:rsidP="00C06070">
            <w:pPr>
              <w:spacing w:before="240"/>
              <w:rPr>
                <w:rFonts w:cstheme="minorHAnsi"/>
                <w:sz w:val="18"/>
                <w:szCs w:val="18"/>
              </w:rPr>
            </w:pPr>
            <w:r w:rsidRPr="007F2D17">
              <w:rPr>
                <w:rFonts w:cstheme="minorHAnsi"/>
                <w:sz w:val="18"/>
                <w:szCs w:val="18"/>
              </w:rPr>
              <w:t>See below (2)</w:t>
            </w:r>
          </w:p>
        </w:tc>
        <w:tc>
          <w:tcPr>
            <w:tcW w:w="1418" w:type="dxa"/>
          </w:tcPr>
          <w:p w14:paraId="56884DE5" w14:textId="77777777" w:rsidR="00786771" w:rsidRPr="007F2D17" w:rsidRDefault="00786771" w:rsidP="005B1B71">
            <w:pPr>
              <w:spacing w:before="240"/>
              <w:ind w:left="0" w:firstLine="0"/>
              <w:rPr>
                <w:rFonts w:cstheme="minorHAnsi"/>
                <w:sz w:val="18"/>
                <w:szCs w:val="18"/>
              </w:rPr>
            </w:pPr>
            <w:r w:rsidRPr="007F2D17">
              <w:rPr>
                <w:rFonts w:cstheme="minorHAnsi"/>
                <w:sz w:val="18"/>
                <w:szCs w:val="18"/>
              </w:rPr>
              <w:t>£25M</w:t>
            </w:r>
          </w:p>
          <w:p w14:paraId="4621271A" w14:textId="77777777" w:rsidR="00786771" w:rsidRPr="007F2D17" w:rsidRDefault="00786771" w:rsidP="005B1B71">
            <w:pPr>
              <w:spacing w:before="240"/>
              <w:ind w:left="0" w:firstLine="0"/>
              <w:rPr>
                <w:rFonts w:cstheme="minorHAnsi"/>
                <w:sz w:val="18"/>
                <w:szCs w:val="18"/>
              </w:rPr>
            </w:pPr>
            <w:r w:rsidRPr="007F2D17">
              <w:rPr>
                <w:rFonts w:cstheme="minorHAnsi"/>
                <w:sz w:val="18"/>
                <w:szCs w:val="18"/>
              </w:rPr>
              <w:t>£35M for RBS group</w:t>
            </w:r>
          </w:p>
        </w:tc>
        <w:tc>
          <w:tcPr>
            <w:tcW w:w="1166" w:type="dxa"/>
          </w:tcPr>
          <w:p w14:paraId="00E5F348" w14:textId="77777777" w:rsidR="00786771" w:rsidRPr="007F2D17" w:rsidRDefault="00786771" w:rsidP="005B1B71">
            <w:pPr>
              <w:spacing w:before="240"/>
              <w:ind w:left="0" w:firstLine="0"/>
              <w:rPr>
                <w:rFonts w:cstheme="minorHAnsi"/>
                <w:sz w:val="18"/>
                <w:szCs w:val="18"/>
              </w:rPr>
            </w:pPr>
            <w:r w:rsidRPr="007F2D17">
              <w:rPr>
                <w:rFonts w:cstheme="minorHAnsi"/>
                <w:sz w:val="18"/>
                <w:szCs w:val="18"/>
              </w:rPr>
              <w:t>2 years including on call</w:t>
            </w:r>
          </w:p>
        </w:tc>
      </w:tr>
      <w:tr w:rsidR="00786771" w:rsidRPr="007F2D17" w14:paraId="5E61AE5F" w14:textId="77777777" w:rsidTr="003859CD">
        <w:tc>
          <w:tcPr>
            <w:tcW w:w="534" w:type="dxa"/>
          </w:tcPr>
          <w:p w14:paraId="32CA0812" w14:textId="77777777" w:rsidR="00786771" w:rsidRPr="007F2D17" w:rsidRDefault="00786771" w:rsidP="00C06070">
            <w:pPr>
              <w:spacing w:before="240"/>
              <w:rPr>
                <w:rFonts w:cstheme="minorHAnsi"/>
                <w:sz w:val="18"/>
                <w:szCs w:val="18"/>
              </w:rPr>
            </w:pPr>
            <w:r w:rsidRPr="007F2D17">
              <w:rPr>
                <w:rFonts w:cstheme="minorHAnsi"/>
                <w:sz w:val="18"/>
                <w:szCs w:val="18"/>
              </w:rPr>
              <w:t>(ii)</w:t>
            </w:r>
          </w:p>
        </w:tc>
        <w:tc>
          <w:tcPr>
            <w:tcW w:w="3969" w:type="dxa"/>
          </w:tcPr>
          <w:p w14:paraId="0BA47ADD" w14:textId="77777777" w:rsidR="00786771" w:rsidRPr="007F2D17" w:rsidRDefault="00786771" w:rsidP="00C06070">
            <w:pPr>
              <w:spacing w:before="240"/>
              <w:rPr>
                <w:rFonts w:cstheme="minorHAnsi"/>
                <w:sz w:val="18"/>
                <w:szCs w:val="18"/>
              </w:rPr>
            </w:pPr>
            <w:r w:rsidRPr="007F2D17">
              <w:rPr>
                <w:rFonts w:cstheme="minorHAnsi"/>
                <w:sz w:val="18"/>
                <w:szCs w:val="18"/>
              </w:rPr>
              <w:t>Money Market Funds (MMF)</w:t>
            </w:r>
          </w:p>
        </w:tc>
        <w:tc>
          <w:tcPr>
            <w:tcW w:w="7087" w:type="dxa"/>
            <w:gridSpan w:val="5"/>
          </w:tcPr>
          <w:p w14:paraId="400A23B9" w14:textId="77777777" w:rsidR="00786771" w:rsidRPr="007F2D17" w:rsidRDefault="00786771" w:rsidP="00C06070">
            <w:pPr>
              <w:spacing w:before="240"/>
              <w:rPr>
                <w:rFonts w:cstheme="minorHAnsi"/>
                <w:sz w:val="18"/>
                <w:szCs w:val="18"/>
              </w:rPr>
            </w:pPr>
            <w:r w:rsidRPr="007F2D17">
              <w:rPr>
                <w:rFonts w:cstheme="minorHAnsi"/>
                <w:sz w:val="18"/>
                <w:szCs w:val="18"/>
              </w:rPr>
              <w:t>AAA rated (3)</w:t>
            </w:r>
          </w:p>
        </w:tc>
        <w:tc>
          <w:tcPr>
            <w:tcW w:w="1418" w:type="dxa"/>
          </w:tcPr>
          <w:p w14:paraId="60095193" w14:textId="77777777" w:rsidR="00786771" w:rsidRPr="007F2D17" w:rsidRDefault="00786771" w:rsidP="005B1B71">
            <w:pPr>
              <w:spacing w:before="240"/>
              <w:ind w:left="0" w:firstLine="0"/>
              <w:rPr>
                <w:rFonts w:cstheme="minorHAnsi"/>
                <w:sz w:val="18"/>
                <w:szCs w:val="18"/>
              </w:rPr>
            </w:pPr>
            <w:r w:rsidRPr="007F2D17">
              <w:rPr>
                <w:rFonts w:cstheme="minorHAnsi"/>
                <w:sz w:val="18"/>
                <w:szCs w:val="18"/>
              </w:rPr>
              <w:t>£2</w:t>
            </w:r>
            <w:r w:rsidR="003859CD" w:rsidRPr="007F2D17">
              <w:rPr>
                <w:rFonts w:cstheme="minorHAnsi"/>
                <w:sz w:val="18"/>
                <w:szCs w:val="18"/>
              </w:rPr>
              <w:t>0</w:t>
            </w:r>
            <w:r w:rsidRPr="007F2D17">
              <w:rPr>
                <w:rFonts w:cstheme="minorHAnsi"/>
                <w:sz w:val="18"/>
                <w:szCs w:val="18"/>
              </w:rPr>
              <w:t>M per MMF (£</w:t>
            </w:r>
            <w:r w:rsidR="003859CD" w:rsidRPr="007F2D17">
              <w:rPr>
                <w:rFonts w:cstheme="minorHAnsi"/>
                <w:sz w:val="18"/>
                <w:szCs w:val="18"/>
              </w:rPr>
              <w:t>4</w:t>
            </w:r>
            <w:r w:rsidRPr="007F2D17">
              <w:rPr>
                <w:rFonts w:cstheme="minorHAnsi"/>
                <w:sz w:val="18"/>
                <w:szCs w:val="18"/>
              </w:rPr>
              <w:t>0M total)</w:t>
            </w:r>
          </w:p>
        </w:tc>
        <w:tc>
          <w:tcPr>
            <w:tcW w:w="1166" w:type="dxa"/>
          </w:tcPr>
          <w:p w14:paraId="608B62FF" w14:textId="77777777" w:rsidR="00786771" w:rsidRPr="007F2D17" w:rsidRDefault="00786771" w:rsidP="005B1B71">
            <w:pPr>
              <w:spacing w:before="240"/>
              <w:ind w:left="0" w:firstLine="0"/>
              <w:rPr>
                <w:rFonts w:cstheme="minorHAnsi"/>
                <w:sz w:val="18"/>
                <w:szCs w:val="18"/>
              </w:rPr>
            </w:pPr>
            <w:r w:rsidRPr="007F2D17">
              <w:rPr>
                <w:rFonts w:cstheme="minorHAnsi"/>
                <w:sz w:val="18"/>
                <w:szCs w:val="18"/>
              </w:rPr>
              <w:t>On call</w:t>
            </w:r>
          </w:p>
        </w:tc>
      </w:tr>
      <w:tr w:rsidR="00895689" w:rsidRPr="007F2D17" w14:paraId="0778D632" w14:textId="77777777" w:rsidTr="003859CD">
        <w:tc>
          <w:tcPr>
            <w:tcW w:w="534" w:type="dxa"/>
            <w:tcBorders>
              <w:bottom w:val="single" w:sz="4" w:space="0" w:color="auto"/>
            </w:tcBorders>
          </w:tcPr>
          <w:p w14:paraId="646B5544" w14:textId="77777777" w:rsidR="00895689" w:rsidRPr="007F2D17" w:rsidRDefault="00895689" w:rsidP="00C06070">
            <w:pPr>
              <w:spacing w:before="240"/>
              <w:rPr>
                <w:rFonts w:cstheme="minorHAnsi"/>
                <w:sz w:val="18"/>
                <w:szCs w:val="18"/>
              </w:rPr>
            </w:pPr>
            <w:r w:rsidRPr="007F2D17">
              <w:rPr>
                <w:rFonts w:cstheme="minorHAnsi"/>
                <w:sz w:val="18"/>
                <w:szCs w:val="18"/>
              </w:rPr>
              <w:t>(iii)</w:t>
            </w:r>
          </w:p>
        </w:tc>
        <w:tc>
          <w:tcPr>
            <w:tcW w:w="3969" w:type="dxa"/>
            <w:tcBorders>
              <w:bottom w:val="single" w:sz="4" w:space="0" w:color="auto"/>
            </w:tcBorders>
          </w:tcPr>
          <w:p w14:paraId="04B2FAFB" w14:textId="77777777" w:rsidR="00895689" w:rsidRPr="007F2D17" w:rsidRDefault="00895689" w:rsidP="00C06070">
            <w:pPr>
              <w:spacing w:before="240"/>
              <w:rPr>
                <w:rFonts w:cstheme="minorHAnsi"/>
                <w:sz w:val="18"/>
                <w:szCs w:val="18"/>
              </w:rPr>
            </w:pPr>
            <w:r w:rsidRPr="007F2D17">
              <w:rPr>
                <w:rFonts w:cstheme="minorHAnsi"/>
                <w:sz w:val="18"/>
                <w:szCs w:val="18"/>
              </w:rPr>
              <w:t>Other local authorities and public bodies</w:t>
            </w:r>
          </w:p>
        </w:tc>
        <w:tc>
          <w:tcPr>
            <w:tcW w:w="7087" w:type="dxa"/>
            <w:gridSpan w:val="5"/>
            <w:tcBorders>
              <w:bottom w:val="single" w:sz="4" w:space="0" w:color="auto"/>
            </w:tcBorders>
          </w:tcPr>
          <w:p w14:paraId="61532A86" w14:textId="77777777" w:rsidR="00895689" w:rsidRPr="007F2D17" w:rsidRDefault="00895689" w:rsidP="00C06070">
            <w:pPr>
              <w:spacing w:before="240"/>
              <w:rPr>
                <w:rFonts w:cstheme="minorHAnsi"/>
                <w:sz w:val="18"/>
                <w:szCs w:val="18"/>
              </w:rPr>
            </w:pPr>
            <w:r w:rsidRPr="007F2D17">
              <w:rPr>
                <w:rFonts w:cstheme="minorHAnsi"/>
                <w:sz w:val="18"/>
                <w:szCs w:val="18"/>
              </w:rPr>
              <w:t>AAA rated</w:t>
            </w:r>
          </w:p>
        </w:tc>
        <w:tc>
          <w:tcPr>
            <w:tcW w:w="1418" w:type="dxa"/>
            <w:tcBorders>
              <w:bottom w:val="single" w:sz="4" w:space="0" w:color="auto"/>
            </w:tcBorders>
          </w:tcPr>
          <w:p w14:paraId="4E93517D" w14:textId="77777777" w:rsidR="00895689" w:rsidRPr="007F2D17" w:rsidRDefault="00895689" w:rsidP="005B1B71">
            <w:pPr>
              <w:spacing w:before="240"/>
              <w:ind w:left="0" w:firstLine="0"/>
              <w:rPr>
                <w:rFonts w:cstheme="minorHAnsi"/>
                <w:sz w:val="18"/>
                <w:szCs w:val="18"/>
              </w:rPr>
            </w:pPr>
            <w:r w:rsidRPr="007F2D17">
              <w:rPr>
                <w:rFonts w:cstheme="minorHAnsi"/>
                <w:sz w:val="18"/>
                <w:szCs w:val="18"/>
              </w:rPr>
              <w:t>£</w:t>
            </w:r>
            <w:r w:rsidR="003859CD" w:rsidRPr="007F2D17">
              <w:rPr>
                <w:rFonts w:cstheme="minorHAnsi"/>
                <w:sz w:val="18"/>
                <w:szCs w:val="18"/>
              </w:rPr>
              <w:t>10</w:t>
            </w:r>
            <w:r w:rsidRPr="007F2D17">
              <w:rPr>
                <w:rFonts w:cstheme="minorHAnsi"/>
                <w:sz w:val="18"/>
                <w:szCs w:val="18"/>
              </w:rPr>
              <w:t>M</w:t>
            </w:r>
            <w:r w:rsidR="003859CD" w:rsidRPr="007F2D17">
              <w:rPr>
                <w:rFonts w:cstheme="minorHAnsi"/>
                <w:sz w:val="18"/>
                <w:szCs w:val="18"/>
              </w:rPr>
              <w:t xml:space="preserve"> per LA (£30M in total)</w:t>
            </w:r>
          </w:p>
        </w:tc>
        <w:tc>
          <w:tcPr>
            <w:tcW w:w="1166" w:type="dxa"/>
            <w:tcBorders>
              <w:bottom w:val="single" w:sz="4" w:space="0" w:color="auto"/>
            </w:tcBorders>
          </w:tcPr>
          <w:p w14:paraId="04A9F717" w14:textId="77777777" w:rsidR="00895689" w:rsidRPr="007F2D17" w:rsidRDefault="00895689" w:rsidP="005B1B71">
            <w:pPr>
              <w:spacing w:before="240"/>
              <w:ind w:left="0" w:firstLine="0"/>
              <w:rPr>
                <w:rFonts w:cstheme="minorHAnsi"/>
                <w:sz w:val="18"/>
                <w:szCs w:val="18"/>
              </w:rPr>
            </w:pPr>
            <w:r w:rsidRPr="007F2D17">
              <w:rPr>
                <w:rFonts w:cstheme="minorHAnsi"/>
                <w:sz w:val="18"/>
                <w:szCs w:val="18"/>
              </w:rPr>
              <w:t>2 years</w:t>
            </w:r>
          </w:p>
        </w:tc>
      </w:tr>
      <w:tr w:rsidR="00895689" w:rsidRPr="007F2D17" w14:paraId="10496B18" w14:textId="77777777" w:rsidTr="003859CD">
        <w:tc>
          <w:tcPr>
            <w:tcW w:w="4503" w:type="dxa"/>
            <w:gridSpan w:val="2"/>
            <w:shd w:val="clear" w:color="auto" w:fill="F2F2F2" w:themeFill="background1" w:themeFillShade="F2"/>
          </w:tcPr>
          <w:p w14:paraId="41BDEF6A" w14:textId="77777777" w:rsidR="00895689" w:rsidRPr="007F2D17" w:rsidRDefault="00895689" w:rsidP="00C06070">
            <w:pPr>
              <w:spacing w:before="240"/>
              <w:rPr>
                <w:rFonts w:cstheme="minorHAnsi"/>
                <w:b/>
                <w:sz w:val="18"/>
                <w:szCs w:val="18"/>
              </w:rPr>
            </w:pPr>
            <w:r w:rsidRPr="007F2D17">
              <w:rPr>
                <w:rFonts w:cstheme="minorHAnsi"/>
                <w:b/>
                <w:sz w:val="18"/>
                <w:szCs w:val="18"/>
              </w:rPr>
              <w:t>FITCH RATINGS</w:t>
            </w:r>
          </w:p>
        </w:tc>
        <w:tc>
          <w:tcPr>
            <w:tcW w:w="1417" w:type="dxa"/>
            <w:shd w:val="clear" w:color="auto" w:fill="F2F2F2" w:themeFill="background1" w:themeFillShade="F2"/>
          </w:tcPr>
          <w:p w14:paraId="2E9698A4" w14:textId="77777777" w:rsidR="00895689" w:rsidRPr="007F2D17" w:rsidRDefault="00895689" w:rsidP="00C06070">
            <w:pPr>
              <w:spacing w:before="240"/>
              <w:rPr>
                <w:rFonts w:cstheme="minorHAnsi"/>
                <w:b/>
                <w:sz w:val="18"/>
                <w:szCs w:val="18"/>
              </w:rPr>
            </w:pPr>
            <w:r w:rsidRPr="007F2D17">
              <w:rPr>
                <w:rFonts w:cstheme="minorHAnsi"/>
                <w:b/>
                <w:sz w:val="18"/>
                <w:szCs w:val="18"/>
              </w:rPr>
              <w:t>Long term</w:t>
            </w:r>
          </w:p>
        </w:tc>
        <w:tc>
          <w:tcPr>
            <w:tcW w:w="1418" w:type="dxa"/>
            <w:shd w:val="clear" w:color="auto" w:fill="F2F2F2" w:themeFill="background1" w:themeFillShade="F2"/>
          </w:tcPr>
          <w:p w14:paraId="626A8AF7" w14:textId="77777777" w:rsidR="00895689" w:rsidRPr="007F2D17" w:rsidRDefault="00895689" w:rsidP="00C06070">
            <w:pPr>
              <w:spacing w:before="240"/>
              <w:rPr>
                <w:rFonts w:cstheme="minorHAnsi"/>
                <w:b/>
                <w:sz w:val="18"/>
                <w:szCs w:val="18"/>
              </w:rPr>
            </w:pPr>
            <w:r w:rsidRPr="007F2D17">
              <w:rPr>
                <w:rFonts w:cstheme="minorHAnsi"/>
                <w:b/>
                <w:sz w:val="18"/>
                <w:szCs w:val="18"/>
              </w:rPr>
              <w:t>Short term</w:t>
            </w:r>
          </w:p>
        </w:tc>
        <w:tc>
          <w:tcPr>
            <w:tcW w:w="1275" w:type="dxa"/>
            <w:shd w:val="clear" w:color="auto" w:fill="F2F2F2" w:themeFill="background1" w:themeFillShade="F2"/>
          </w:tcPr>
          <w:p w14:paraId="2C621932" w14:textId="77777777" w:rsidR="00895689" w:rsidRPr="007F2D17" w:rsidRDefault="00895689" w:rsidP="00C06070">
            <w:pPr>
              <w:spacing w:before="240"/>
              <w:rPr>
                <w:rFonts w:cstheme="minorHAnsi"/>
                <w:b/>
                <w:sz w:val="18"/>
                <w:szCs w:val="18"/>
              </w:rPr>
            </w:pPr>
            <w:r w:rsidRPr="007F2D17">
              <w:rPr>
                <w:rFonts w:cstheme="minorHAnsi"/>
                <w:b/>
                <w:sz w:val="18"/>
                <w:szCs w:val="18"/>
              </w:rPr>
              <w:t>Viability</w:t>
            </w:r>
          </w:p>
        </w:tc>
        <w:tc>
          <w:tcPr>
            <w:tcW w:w="1418" w:type="dxa"/>
            <w:shd w:val="clear" w:color="auto" w:fill="F2F2F2" w:themeFill="background1" w:themeFillShade="F2"/>
          </w:tcPr>
          <w:p w14:paraId="4A6D697B" w14:textId="77777777" w:rsidR="00895689" w:rsidRPr="007F2D17" w:rsidRDefault="00895689" w:rsidP="00C06070">
            <w:pPr>
              <w:spacing w:before="240"/>
              <w:rPr>
                <w:rFonts w:cstheme="minorHAnsi"/>
                <w:b/>
                <w:sz w:val="18"/>
                <w:szCs w:val="18"/>
              </w:rPr>
            </w:pPr>
            <w:r w:rsidRPr="007F2D17">
              <w:rPr>
                <w:rFonts w:cstheme="minorHAnsi"/>
                <w:b/>
                <w:sz w:val="18"/>
                <w:szCs w:val="18"/>
              </w:rPr>
              <w:t>Support</w:t>
            </w:r>
          </w:p>
        </w:tc>
        <w:tc>
          <w:tcPr>
            <w:tcW w:w="1559" w:type="dxa"/>
            <w:shd w:val="clear" w:color="auto" w:fill="F2F2F2" w:themeFill="background1" w:themeFillShade="F2"/>
          </w:tcPr>
          <w:p w14:paraId="6274771D" w14:textId="77777777" w:rsidR="00895689" w:rsidRPr="007F2D17" w:rsidRDefault="00895689" w:rsidP="00C06070">
            <w:pPr>
              <w:spacing w:before="240"/>
              <w:rPr>
                <w:rFonts w:cstheme="minorHAnsi"/>
                <w:b/>
                <w:sz w:val="18"/>
                <w:szCs w:val="18"/>
              </w:rPr>
            </w:pPr>
            <w:r w:rsidRPr="007F2D17">
              <w:rPr>
                <w:rFonts w:cstheme="minorHAnsi"/>
                <w:b/>
                <w:sz w:val="18"/>
                <w:szCs w:val="18"/>
              </w:rPr>
              <w:t>Sovereign</w:t>
            </w:r>
          </w:p>
        </w:tc>
        <w:tc>
          <w:tcPr>
            <w:tcW w:w="2584" w:type="dxa"/>
            <w:gridSpan w:val="2"/>
            <w:shd w:val="clear" w:color="auto" w:fill="F2F2F2" w:themeFill="background1" w:themeFillShade="F2"/>
          </w:tcPr>
          <w:p w14:paraId="290A6ECD" w14:textId="77777777" w:rsidR="00895689" w:rsidRPr="007F2D17" w:rsidRDefault="00895689" w:rsidP="00C06070">
            <w:pPr>
              <w:spacing w:before="240"/>
              <w:rPr>
                <w:rFonts w:cstheme="minorHAnsi"/>
                <w:b/>
                <w:sz w:val="18"/>
                <w:szCs w:val="18"/>
              </w:rPr>
            </w:pPr>
          </w:p>
        </w:tc>
      </w:tr>
      <w:tr w:rsidR="00895689" w:rsidRPr="007F2D17" w14:paraId="09863841" w14:textId="77777777" w:rsidTr="003859CD">
        <w:tc>
          <w:tcPr>
            <w:tcW w:w="534" w:type="dxa"/>
            <w:vMerge w:val="restart"/>
          </w:tcPr>
          <w:p w14:paraId="6B9E292B" w14:textId="77777777" w:rsidR="00895689" w:rsidRPr="007F2D17" w:rsidRDefault="00895689" w:rsidP="00C06070">
            <w:pPr>
              <w:spacing w:before="240"/>
              <w:rPr>
                <w:rFonts w:cstheme="minorHAnsi"/>
                <w:sz w:val="18"/>
                <w:szCs w:val="18"/>
              </w:rPr>
            </w:pPr>
            <w:r w:rsidRPr="007F2D17">
              <w:rPr>
                <w:rFonts w:cstheme="minorHAnsi"/>
                <w:sz w:val="18"/>
                <w:szCs w:val="18"/>
              </w:rPr>
              <w:t>(iv)</w:t>
            </w:r>
          </w:p>
        </w:tc>
        <w:tc>
          <w:tcPr>
            <w:tcW w:w="3969" w:type="dxa"/>
            <w:vMerge w:val="restart"/>
          </w:tcPr>
          <w:p w14:paraId="2D9E5254" w14:textId="77777777" w:rsidR="00895689" w:rsidRPr="007F2D17" w:rsidRDefault="00895689" w:rsidP="00C06070">
            <w:pPr>
              <w:spacing w:before="240"/>
              <w:rPr>
                <w:rFonts w:cstheme="minorHAnsi"/>
                <w:sz w:val="18"/>
                <w:szCs w:val="18"/>
              </w:rPr>
            </w:pPr>
            <w:r w:rsidRPr="007F2D17">
              <w:rPr>
                <w:rFonts w:cstheme="minorHAnsi"/>
                <w:sz w:val="18"/>
                <w:szCs w:val="18"/>
              </w:rPr>
              <w:t>Authorised institutions (under the Banking Act 1987) which hold a suitable credit rating</w:t>
            </w:r>
          </w:p>
        </w:tc>
        <w:tc>
          <w:tcPr>
            <w:tcW w:w="1417" w:type="dxa"/>
          </w:tcPr>
          <w:p w14:paraId="2DC93629"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1B2F8DFA" w14:textId="77777777" w:rsidR="00895689" w:rsidRPr="007F2D17" w:rsidRDefault="00895689" w:rsidP="00C06070">
            <w:pPr>
              <w:spacing w:before="240"/>
              <w:rPr>
                <w:rFonts w:cstheme="minorHAnsi"/>
                <w:sz w:val="18"/>
                <w:szCs w:val="18"/>
              </w:rPr>
            </w:pPr>
            <w:r w:rsidRPr="007F2D17">
              <w:rPr>
                <w:rFonts w:cstheme="minorHAnsi"/>
                <w:sz w:val="18"/>
                <w:szCs w:val="18"/>
              </w:rPr>
              <w:t>F1+</w:t>
            </w:r>
          </w:p>
        </w:tc>
        <w:tc>
          <w:tcPr>
            <w:tcW w:w="1275" w:type="dxa"/>
          </w:tcPr>
          <w:p w14:paraId="0A666373"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1501EC07" w14:textId="77777777" w:rsidR="00895689" w:rsidRPr="007F2D17" w:rsidRDefault="00895689" w:rsidP="00C06070">
            <w:pPr>
              <w:spacing w:before="240"/>
              <w:rPr>
                <w:rFonts w:cstheme="minorHAnsi"/>
                <w:sz w:val="18"/>
                <w:szCs w:val="18"/>
              </w:rPr>
            </w:pPr>
            <w:r w:rsidRPr="007F2D17">
              <w:rPr>
                <w:rFonts w:cstheme="minorHAnsi"/>
                <w:sz w:val="18"/>
                <w:szCs w:val="18"/>
              </w:rPr>
              <w:t>1</w:t>
            </w:r>
          </w:p>
        </w:tc>
        <w:tc>
          <w:tcPr>
            <w:tcW w:w="1559" w:type="dxa"/>
          </w:tcPr>
          <w:p w14:paraId="05C87355"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75FD2C7D" w14:textId="77777777" w:rsidR="00895689" w:rsidRPr="007F2D17" w:rsidRDefault="00895689" w:rsidP="00C06070">
            <w:pPr>
              <w:spacing w:before="240"/>
              <w:rPr>
                <w:rFonts w:cstheme="minorHAnsi"/>
                <w:sz w:val="18"/>
                <w:szCs w:val="18"/>
              </w:rPr>
            </w:pPr>
            <w:r w:rsidRPr="007F2D17">
              <w:rPr>
                <w:rFonts w:cstheme="minorHAnsi"/>
                <w:sz w:val="18"/>
                <w:szCs w:val="18"/>
              </w:rPr>
              <w:t>£25M</w:t>
            </w:r>
          </w:p>
        </w:tc>
        <w:tc>
          <w:tcPr>
            <w:tcW w:w="1166" w:type="dxa"/>
          </w:tcPr>
          <w:p w14:paraId="0CA0A27C" w14:textId="77777777" w:rsidR="00895689" w:rsidRPr="007F2D17" w:rsidRDefault="00895689" w:rsidP="00C06070">
            <w:pPr>
              <w:spacing w:before="240"/>
              <w:rPr>
                <w:rFonts w:cstheme="minorHAnsi"/>
                <w:sz w:val="18"/>
                <w:szCs w:val="18"/>
              </w:rPr>
            </w:pPr>
            <w:r w:rsidRPr="007F2D17">
              <w:rPr>
                <w:rFonts w:cstheme="minorHAnsi"/>
                <w:sz w:val="18"/>
                <w:szCs w:val="18"/>
              </w:rPr>
              <w:t>2 years</w:t>
            </w:r>
          </w:p>
        </w:tc>
      </w:tr>
      <w:tr w:rsidR="00895689" w:rsidRPr="007F2D17" w14:paraId="14372681" w14:textId="77777777" w:rsidTr="003859CD">
        <w:tc>
          <w:tcPr>
            <w:tcW w:w="534" w:type="dxa"/>
            <w:vMerge/>
          </w:tcPr>
          <w:p w14:paraId="7D28DAD8" w14:textId="77777777" w:rsidR="00895689" w:rsidRPr="007F2D17" w:rsidRDefault="00895689" w:rsidP="00C06070">
            <w:pPr>
              <w:spacing w:before="240"/>
              <w:rPr>
                <w:rFonts w:cstheme="minorHAnsi"/>
                <w:sz w:val="18"/>
                <w:szCs w:val="18"/>
              </w:rPr>
            </w:pPr>
          </w:p>
        </w:tc>
        <w:tc>
          <w:tcPr>
            <w:tcW w:w="3969" w:type="dxa"/>
            <w:vMerge/>
          </w:tcPr>
          <w:p w14:paraId="23608A61" w14:textId="77777777" w:rsidR="00895689" w:rsidRPr="007F2D17" w:rsidRDefault="00895689" w:rsidP="00C06070">
            <w:pPr>
              <w:spacing w:before="240"/>
              <w:rPr>
                <w:rFonts w:cstheme="minorHAnsi"/>
                <w:sz w:val="18"/>
                <w:szCs w:val="18"/>
              </w:rPr>
            </w:pPr>
          </w:p>
        </w:tc>
        <w:tc>
          <w:tcPr>
            <w:tcW w:w="1417" w:type="dxa"/>
          </w:tcPr>
          <w:p w14:paraId="49A97318" w14:textId="77777777" w:rsidR="00895689" w:rsidRPr="007F2D17" w:rsidRDefault="00895689" w:rsidP="00C06070">
            <w:pPr>
              <w:spacing w:before="240"/>
              <w:rPr>
                <w:rFonts w:cstheme="minorHAnsi"/>
                <w:sz w:val="18"/>
                <w:szCs w:val="18"/>
              </w:rPr>
            </w:pPr>
            <w:r w:rsidRPr="007F2D17">
              <w:rPr>
                <w:rFonts w:cstheme="minorHAnsi"/>
                <w:sz w:val="18"/>
                <w:szCs w:val="18"/>
              </w:rPr>
              <w:t>A and above</w:t>
            </w:r>
          </w:p>
        </w:tc>
        <w:tc>
          <w:tcPr>
            <w:tcW w:w="1418" w:type="dxa"/>
          </w:tcPr>
          <w:p w14:paraId="04B140FB" w14:textId="77777777" w:rsidR="00895689" w:rsidRPr="007F2D17" w:rsidRDefault="00895689" w:rsidP="00C06070">
            <w:pPr>
              <w:spacing w:before="240"/>
              <w:rPr>
                <w:rFonts w:cstheme="minorHAnsi"/>
                <w:sz w:val="18"/>
                <w:szCs w:val="18"/>
              </w:rPr>
            </w:pPr>
            <w:r w:rsidRPr="007F2D17">
              <w:rPr>
                <w:rFonts w:cstheme="minorHAnsi"/>
                <w:sz w:val="18"/>
                <w:szCs w:val="18"/>
              </w:rPr>
              <w:t xml:space="preserve">F1 and above </w:t>
            </w:r>
          </w:p>
        </w:tc>
        <w:tc>
          <w:tcPr>
            <w:tcW w:w="1275" w:type="dxa"/>
          </w:tcPr>
          <w:p w14:paraId="1F1687D2" w14:textId="77777777" w:rsidR="00895689" w:rsidRPr="007F2D17" w:rsidRDefault="00895689" w:rsidP="00C06070">
            <w:pPr>
              <w:spacing w:before="240"/>
              <w:rPr>
                <w:rFonts w:cstheme="minorHAnsi"/>
                <w:sz w:val="18"/>
                <w:szCs w:val="18"/>
              </w:rPr>
            </w:pPr>
            <w:r w:rsidRPr="007F2D17">
              <w:rPr>
                <w:rFonts w:cstheme="minorHAnsi"/>
                <w:sz w:val="18"/>
                <w:szCs w:val="18"/>
              </w:rPr>
              <w:t>a- and above</w:t>
            </w:r>
          </w:p>
        </w:tc>
        <w:tc>
          <w:tcPr>
            <w:tcW w:w="1418" w:type="dxa"/>
          </w:tcPr>
          <w:p w14:paraId="3E654454" w14:textId="77777777" w:rsidR="00895689" w:rsidRPr="007F2D17" w:rsidRDefault="00895689" w:rsidP="00C06070">
            <w:pPr>
              <w:spacing w:before="240"/>
              <w:rPr>
                <w:rFonts w:cstheme="minorHAnsi"/>
                <w:sz w:val="18"/>
                <w:szCs w:val="18"/>
              </w:rPr>
            </w:pPr>
            <w:r w:rsidRPr="007F2D17">
              <w:rPr>
                <w:rFonts w:cstheme="minorHAnsi"/>
                <w:sz w:val="18"/>
                <w:szCs w:val="18"/>
              </w:rPr>
              <w:t>1</w:t>
            </w:r>
          </w:p>
        </w:tc>
        <w:tc>
          <w:tcPr>
            <w:tcW w:w="1559" w:type="dxa"/>
          </w:tcPr>
          <w:p w14:paraId="4DFB1777"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34C01EFA" w14:textId="77777777" w:rsidR="00895689" w:rsidRPr="007F2D17" w:rsidRDefault="00895689" w:rsidP="003859CD">
            <w:pPr>
              <w:spacing w:before="240"/>
              <w:rPr>
                <w:rFonts w:cstheme="minorHAnsi"/>
                <w:sz w:val="18"/>
                <w:szCs w:val="18"/>
              </w:rPr>
            </w:pPr>
            <w:r w:rsidRPr="007F2D17">
              <w:rPr>
                <w:rFonts w:cstheme="minorHAnsi"/>
                <w:sz w:val="18"/>
                <w:szCs w:val="18"/>
              </w:rPr>
              <w:t>£</w:t>
            </w:r>
            <w:r w:rsidR="003859CD" w:rsidRPr="007F2D17">
              <w:rPr>
                <w:rFonts w:cstheme="minorHAnsi"/>
                <w:sz w:val="18"/>
                <w:szCs w:val="18"/>
              </w:rPr>
              <w:t>15</w:t>
            </w:r>
            <w:r w:rsidRPr="007F2D17">
              <w:rPr>
                <w:rFonts w:cstheme="minorHAnsi"/>
                <w:sz w:val="18"/>
                <w:szCs w:val="18"/>
              </w:rPr>
              <w:t>M</w:t>
            </w:r>
          </w:p>
        </w:tc>
        <w:tc>
          <w:tcPr>
            <w:tcW w:w="1166" w:type="dxa"/>
          </w:tcPr>
          <w:p w14:paraId="49712221" w14:textId="77777777" w:rsidR="00895689" w:rsidRPr="007F2D17" w:rsidRDefault="00895689" w:rsidP="00C06070">
            <w:pPr>
              <w:spacing w:before="240"/>
              <w:rPr>
                <w:rFonts w:cstheme="minorHAnsi"/>
                <w:sz w:val="18"/>
                <w:szCs w:val="18"/>
              </w:rPr>
            </w:pPr>
            <w:r w:rsidRPr="007F2D17">
              <w:rPr>
                <w:rFonts w:cstheme="minorHAnsi"/>
                <w:sz w:val="18"/>
                <w:szCs w:val="18"/>
              </w:rPr>
              <w:t>12 months</w:t>
            </w:r>
          </w:p>
        </w:tc>
      </w:tr>
      <w:tr w:rsidR="00895689" w:rsidRPr="007F2D17" w14:paraId="62D82BD8" w14:textId="77777777" w:rsidTr="003859CD">
        <w:tc>
          <w:tcPr>
            <w:tcW w:w="534" w:type="dxa"/>
            <w:vMerge w:val="restart"/>
          </w:tcPr>
          <w:p w14:paraId="22CCE687" w14:textId="77777777" w:rsidR="00895689" w:rsidRPr="007F2D17" w:rsidRDefault="00895689" w:rsidP="00C06070">
            <w:pPr>
              <w:spacing w:before="240"/>
              <w:rPr>
                <w:rFonts w:cstheme="minorHAnsi"/>
                <w:sz w:val="18"/>
                <w:szCs w:val="18"/>
              </w:rPr>
            </w:pPr>
            <w:r w:rsidRPr="007F2D17">
              <w:rPr>
                <w:rFonts w:cstheme="minorHAnsi"/>
                <w:sz w:val="18"/>
                <w:szCs w:val="18"/>
              </w:rPr>
              <w:t>(v)</w:t>
            </w:r>
          </w:p>
        </w:tc>
        <w:tc>
          <w:tcPr>
            <w:tcW w:w="3969" w:type="dxa"/>
            <w:vMerge w:val="restart"/>
          </w:tcPr>
          <w:p w14:paraId="29B47D58" w14:textId="77777777" w:rsidR="00895689" w:rsidRPr="007F2D17" w:rsidRDefault="00895689" w:rsidP="00C06070">
            <w:pPr>
              <w:spacing w:before="240"/>
              <w:rPr>
                <w:rFonts w:cstheme="minorHAnsi"/>
                <w:sz w:val="18"/>
                <w:szCs w:val="18"/>
              </w:rPr>
            </w:pPr>
            <w:r w:rsidRPr="007F2D17">
              <w:rPr>
                <w:rFonts w:cstheme="minorHAnsi"/>
                <w:sz w:val="18"/>
                <w:szCs w:val="18"/>
              </w:rPr>
              <w:t>Call accounts held with authorised institutions (under the Banking Act 1987) which hold a suitable credit rating</w:t>
            </w:r>
          </w:p>
        </w:tc>
        <w:tc>
          <w:tcPr>
            <w:tcW w:w="1417" w:type="dxa"/>
          </w:tcPr>
          <w:p w14:paraId="0C396A92"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11BA0F1A" w14:textId="77777777" w:rsidR="00895689" w:rsidRPr="007F2D17" w:rsidRDefault="00895689" w:rsidP="00C06070">
            <w:pPr>
              <w:spacing w:before="240"/>
              <w:rPr>
                <w:rFonts w:cstheme="minorHAnsi"/>
                <w:sz w:val="18"/>
                <w:szCs w:val="18"/>
              </w:rPr>
            </w:pPr>
            <w:r w:rsidRPr="007F2D17">
              <w:rPr>
                <w:rFonts w:cstheme="minorHAnsi"/>
                <w:sz w:val="18"/>
                <w:szCs w:val="18"/>
              </w:rPr>
              <w:t>F1+</w:t>
            </w:r>
          </w:p>
        </w:tc>
        <w:tc>
          <w:tcPr>
            <w:tcW w:w="1275" w:type="dxa"/>
          </w:tcPr>
          <w:p w14:paraId="29E2046E"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5ED0BB56" w14:textId="77777777" w:rsidR="00895689" w:rsidRPr="007F2D17" w:rsidRDefault="00895689" w:rsidP="00C06070">
            <w:pPr>
              <w:spacing w:before="240"/>
              <w:rPr>
                <w:rFonts w:cstheme="minorHAnsi"/>
                <w:sz w:val="18"/>
                <w:szCs w:val="18"/>
              </w:rPr>
            </w:pPr>
            <w:r w:rsidRPr="007F2D17">
              <w:rPr>
                <w:rFonts w:cstheme="minorHAnsi"/>
                <w:sz w:val="18"/>
                <w:szCs w:val="18"/>
              </w:rPr>
              <w:t>1</w:t>
            </w:r>
          </w:p>
        </w:tc>
        <w:tc>
          <w:tcPr>
            <w:tcW w:w="1559" w:type="dxa"/>
          </w:tcPr>
          <w:p w14:paraId="08AFC81C"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5A9C82EE" w14:textId="77777777" w:rsidR="00895689" w:rsidRPr="007F2D17" w:rsidRDefault="00895689" w:rsidP="003859CD">
            <w:pPr>
              <w:spacing w:before="240"/>
              <w:rPr>
                <w:rFonts w:cstheme="minorHAnsi"/>
                <w:sz w:val="18"/>
                <w:szCs w:val="18"/>
              </w:rPr>
            </w:pPr>
            <w:r w:rsidRPr="007F2D17">
              <w:rPr>
                <w:rFonts w:cstheme="minorHAnsi"/>
                <w:sz w:val="18"/>
                <w:szCs w:val="18"/>
              </w:rPr>
              <w:t>£2</w:t>
            </w:r>
            <w:r w:rsidR="003859CD" w:rsidRPr="007F2D17">
              <w:rPr>
                <w:rFonts w:cstheme="minorHAnsi"/>
                <w:sz w:val="18"/>
                <w:szCs w:val="18"/>
              </w:rPr>
              <w:t>0</w:t>
            </w:r>
            <w:r w:rsidRPr="007F2D17">
              <w:rPr>
                <w:rFonts w:cstheme="minorHAnsi"/>
                <w:sz w:val="18"/>
                <w:szCs w:val="18"/>
              </w:rPr>
              <w:t>M</w:t>
            </w:r>
          </w:p>
        </w:tc>
        <w:tc>
          <w:tcPr>
            <w:tcW w:w="1166" w:type="dxa"/>
          </w:tcPr>
          <w:p w14:paraId="4157DD78" w14:textId="77777777" w:rsidR="00895689" w:rsidRPr="007F2D17" w:rsidRDefault="00895689" w:rsidP="00C06070">
            <w:pPr>
              <w:spacing w:before="240"/>
              <w:rPr>
                <w:rFonts w:cstheme="minorHAnsi"/>
                <w:sz w:val="18"/>
                <w:szCs w:val="18"/>
              </w:rPr>
            </w:pPr>
            <w:r w:rsidRPr="007F2D17">
              <w:rPr>
                <w:rFonts w:cstheme="minorHAnsi"/>
                <w:sz w:val="18"/>
                <w:szCs w:val="18"/>
              </w:rPr>
              <w:t>On call</w:t>
            </w:r>
          </w:p>
        </w:tc>
      </w:tr>
      <w:tr w:rsidR="00895689" w:rsidRPr="007F2D17" w14:paraId="5B0F1F9E" w14:textId="77777777" w:rsidTr="003859CD">
        <w:tc>
          <w:tcPr>
            <w:tcW w:w="534" w:type="dxa"/>
            <w:vMerge/>
          </w:tcPr>
          <w:p w14:paraId="1A16E2D9" w14:textId="77777777" w:rsidR="00895689" w:rsidRPr="007F2D17" w:rsidRDefault="00895689" w:rsidP="00C06070">
            <w:pPr>
              <w:spacing w:before="240"/>
              <w:rPr>
                <w:rFonts w:cstheme="minorHAnsi"/>
                <w:sz w:val="18"/>
                <w:szCs w:val="18"/>
              </w:rPr>
            </w:pPr>
          </w:p>
        </w:tc>
        <w:tc>
          <w:tcPr>
            <w:tcW w:w="3969" w:type="dxa"/>
            <w:vMerge/>
          </w:tcPr>
          <w:p w14:paraId="7B096F74" w14:textId="77777777" w:rsidR="00895689" w:rsidRPr="007F2D17" w:rsidRDefault="00895689" w:rsidP="00C06070">
            <w:pPr>
              <w:spacing w:before="240"/>
              <w:rPr>
                <w:rFonts w:cstheme="minorHAnsi"/>
                <w:sz w:val="18"/>
                <w:szCs w:val="18"/>
              </w:rPr>
            </w:pPr>
          </w:p>
        </w:tc>
        <w:tc>
          <w:tcPr>
            <w:tcW w:w="1417" w:type="dxa"/>
          </w:tcPr>
          <w:p w14:paraId="3405A010" w14:textId="77777777" w:rsidR="00895689" w:rsidRPr="007F2D17" w:rsidRDefault="00895689" w:rsidP="00C06070">
            <w:pPr>
              <w:spacing w:before="240"/>
              <w:rPr>
                <w:rFonts w:cstheme="minorHAnsi"/>
                <w:sz w:val="18"/>
                <w:szCs w:val="18"/>
              </w:rPr>
            </w:pPr>
            <w:r w:rsidRPr="007F2D17">
              <w:rPr>
                <w:rFonts w:cstheme="minorHAnsi"/>
                <w:sz w:val="18"/>
                <w:szCs w:val="18"/>
              </w:rPr>
              <w:t>A and above</w:t>
            </w:r>
          </w:p>
        </w:tc>
        <w:tc>
          <w:tcPr>
            <w:tcW w:w="1418" w:type="dxa"/>
          </w:tcPr>
          <w:p w14:paraId="56DA6771" w14:textId="77777777" w:rsidR="00895689" w:rsidRPr="007F2D17" w:rsidRDefault="00895689" w:rsidP="00C06070">
            <w:pPr>
              <w:spacing w:before="240"/>
              <w:rPr>
                <w:rFonts w:cstheme="minorHAnsi"/>
                <w:sz w:val="18"/>
                <w:szCs w:val="18"/>
              </w:rPr>
            </w:pPr>
            <w:r w:rsidRPr="007F2D17">
              <w:rPr>
                <w:rFonts w:cstheme="minorHAnsi"/>
                <w:sz w:val="18"/>
                <w:szCs w:val="18"/>
              </w:rPr>
              <w:t>F1 and above</w:t>
            </w:r>
          </w:p>
        </w:tc>
        <w:tc>
          <w:tcPr>
            <w:tcW w:w="1275" w:type="dxa"/>
          </w:tcPr>
          <w:p w14:paraId="13BF4DE5" w14:textId="77777777" w:rsidR="00895689" w:rsidRPr="007F2D17" w:rsidRDefault="00895689" w:rsidP="00C06070">
            <w:pPr>
              <w:spacing w:before="240"/>
              <w:rPr>
                <w:rFonts w:cstheme="minorHAnsi"/>
                <w:sz w:val="18"/>
                <w:szCs w:val="18"/>
              </w:rPr>
            </w:pPr>
            <w:r w:rsidRPr="007F2D17">
              <w:rPr>
                <w:rFonts w:cstheme="minorHAnsi"/>
                <w:sz w:val="18"/>
                <w:szCs w:val="18"/>
              </w:rPr>
              <w:t>a- and above</w:t>
            </w:r>
          </w:p>
        </w:tc>
        <w:tc>
          <w:tcPr>
            <w:tcW w:w="1418" w:type="dxa"/>
          </w:tcPr>
          <w:p w14:paraId="2D1BF6A0" w14:textId="77777777" w:rsidR="00895689" w:rsidRPr="007F2D17" w:rsidRDefault="00895689" w:rsidP="00C06070">
            <w:pPr>
              <w:spacing w:before="240"/>
              <w:rPr>
                <w:rFonts w:cstheme="minorHAnsi"/>
                <w:sz w:val="18"/>
                <w:szCs w:val="18"/>
              </w:rPr>
            </w:pPr>
            <w:r w:rsidRPr="007F2D17">
              <w:rPr>
                <w:rFonts w:cstheme="minorHAnsi"/>
                <w:sz w:val="18"/>
                <w:szCs w:val="18"/>
              </w:rPr>
              <w:t>1</w:t>
            </w:r>
          </w:p>
        </w:tc>
        <w:tc>
          <w:tcPr>
            <w:tcW w:w="1559" w:type="dxa"/>
          </w:tcPr>
          <w:p w14:paraId="24D126F4" w14:textId="77777777" w:rsidR="00895689" w:rsidRPr="007F2D17" w:rsidRDefault="00895689" w:rsidP="00C06070">
            <w:pPr>
              <w:spacing w:before="240"/>
              <w:rPr>
                <w:rFonts w:cstheme="minorHAnsi"/>
                <w:sz w:val="18"/>
                <w:szCs w:val="18"/>
              </w:rPr>
            </w:pPr>
            <w:r w:rsidRPr="007F2D17">
              <w:rPr>
                <w:rFonts w:cstheme="minorHAnsi"/>
                <w:sz w:val="18"/>
                <w:szCs w:val="18"/>
              </w:rPr>
              <w:t>AA+ and above</w:t>
            </w:r>
          </w:p>
        </w:tc>
        <w:tc>
          <w:tcPr>
            <w:tcW w:w="1418" w:type="dxa"/>
          </w:tcPr>
          <w:p w14:paraId="06D0156B" w14:textId="77777777" w:rsidR="00895689" w:rsidRPr="007F2D17" w:rsidRDefault="00895689" w:rsidP="003859CD">
            <w:pPr>
              <w:spacing w:before="240"/>
              <w:rPr>
                <w:rFonts w:cstheme="minorHAnsi"/>
                <w:sz w:val="18"/>
                <w:szCs w:val="18"/>
              </w:rPr>
            </w:pPr>
            <w:r w:rsidRPr="007F2D17">
              <w:rPr>
                <w:rFonts w:cstheme="minorHAnsi"/>
                <w:sz w:val="18"/>
                <w:szCs w:val="18"/>
              </w:rPr>
              <w:t>£</w:t>
            </w:r>
            <w:r w:rsidR="003859CD" w:rsidRPr="007F2D17">
              <w:rPr>
                <w:rFonts w:cstheme="minorHAnsi"/>
                <w:sz w:val="18"/>
                <w:szCs w:val="18"/>
              </w:rPr>
              <w:t>15</w:t>
            </w:r>
            <w:r w:rsidRPr="007F2D17">
              <w:rPr>
                <w:rFonts w:cstheme="minorHAnsi"/>
                <w:sz w:val="18"/>
                <w:szCs w:val="18"/>
              </w:rPr>
              <w:t xml:space="preserve">M </w:t>
            </w:r>
          </w:p>
        </w:tc>
        <w:tc>
          <w:tcPr>
            <w:tcW w:w="1166" w:type="dxa"/>
          </w:tcPr>
          <w:p w14:paraId="77D254E0" w14:textId="77777777" w:rsidR="00895689" w:rsidRPr="007F2D17" w:rsidRDefault="00895689" w:rsidP="00C06070">
            <w:pPr>
              <w:spacing w:before="240"/>
              <w:rPr>
                <w:rFonts w:cstheme="minorHAnsi"/>
                <w:sz w:val="18"/>
                <w:szCs w:val="18"/>
              </w:rPr>
            </w:pPr>
            <w:r w:rsidRPr="007F2D17">
              <w:rPr>
                <w:rFonts w:cstheme="minorHAnsi"/>
                <w:sz w:val="18"/>
                <w:szCs w:val="18"/>
              </w:rPr>
              <w:t>On call</w:t>
            </w:r>
          </w:p>
        </w:tc>
      </w:tr>
      <w:tr w:rsidR="003859CD" w:rsidRPr="007F2D17" w14:paraId="4BEB03D6" w14:textId="77777777" w:rsidTr="003859CD">
        <w:tc>
          <w:tcPr>
            <w:tcW w:w="534" w:type="dxa"/>
          </w:tcPr>
          <w:p w14:paraId="6E3CCF2E" w14:textId="77777777" w:rsidR="003859CD" w:rsidRPr="007F2D17" w:rsidRDefault="003859CD" w:rsidP="00C06070">
            <w:pPr>
              <w:spacing w:before="240"/>
              <w:rPr>
                <w:rFonts w:cstheme="minorHAnsi"/>
                <w:sz w:val="18"/>
                <w:szCs w:val="18"/>
              </w:rPr>
            </w:pPr>
            <w:r w:rsidRPr="007F2D17">
              <w:rPr>
                <w:rFonts w:cstheme="minorHAnsi"/>
                <w:sz w:val="18"/>
                <w:szCs w:val="18"/>
              </w:rPr>
              <w:t>(vi)</w:t>
            </w:r>
          </w:p>
        </w:tc>
        <w:tc>
          <w:tcPr>
            <w:tcW w:w="3969" w:type="dxa"/>
          </w:tcPr>
          <w:p w14:paraId="2DE50F4C" w14:textId="77777777" w:rsidR="003859CD" w:rsidRPr="007F2D17" w:rsidRDefault="003859CD" w:rsidP="00C06070">
            <w:pPr>
              <w:spacing w:before="240"/>
              <w:rPr>
                <w:rFonts w:cstheme="minorHAnsi"/>
                <w:sz w:val="18"/>
                <w:szCs w:val="18"/>
              </w:rPr>
            </w:pPr>
            <w:r w:rsidRPr="007F2D17">
              <w:rPr>
                <w:rFonts w:cstheme="minorHAnsi"/>
                <w:sz w:val="18"/>
                <w:szCs w:val="18"/>
              </w:rPr>
              <w:t>Building Societies which hold a suitable credit rating</w:t>
            </w:r>
          </w:p>
        </w:tc>
        <w:tc>
          <w:tcPr>
            <w:tcW w:w="1417" w:type="dxa"/>
          </w:tcPr>
          <w:p w14:paraId="4788AC8D" w14:textId="77777777" w:rsidR="003859CD" w:rsidRPr="007F2D17" w:rsidRDefault="003859CD" w:rsidP="00C06070">
            <w:pPr>
              <w:spacing w:before="240"/>
              <w:rPr>
                <w:rFonts w:cstheme="minorHAnsi"/>
                <w:sz w:val="18"/>
                <w:szCs w:val="18"/>
              </w:rPr>
            </w:pPr>
            <w:r w:rsidRPr="007F2D17">
              <w:rPr>
                <w:rFonts w:cstheme="minorHAnsi"/>
                <w:sz w:val="18"/>
                <w:szCs w:val="18"/>
              </w:rPr>
              <w:t>A and above</w:t>
            </w:r>
          </w:p>
        </w:tc>
        <w:tc>
          <w:tcPr>
            <w:tcW w:w="1418" w:type="dxa"/>
          </w:tcPr>
          <w:p w14:paraId="6150842C" w14:textId="77777777" w:rsidR="003859CD" w:rsidRPr="007F2D17" w:rsidRDefault="003859CD" w:rsidP="00C06070">
            <w:pPr>
              <w:spacing w:before="240"/>
              <w:rPr>
                <w:rFonts w:cstheme="minorHAnsi"/>
                <w:sz w:val="18"/>
                <w:szCs w:val="18"/>
              </w:rPr>
            </w:pPr>
            <w:r w:rsidRPr="007F2D17">
              <w:rPr>
                <w:rFonts w:cstheme="minorHAnsi"/>
                <w:sz w:val="18"/>
                <w:szCs w:val="18"/>
              </w:rPr>
              <w:t>F1 and above</w:t>
            </w:r>
          </w:p>
        </w:tc>
        <w:tc>
          <w:tcPr>
            <w:tcW w:w="1275" w:type="dxa"/>
          </w:tcPr>
          <w:p w14:paraId="68EB7BDA" w14:textId="77777777" w:rsidR="003859CD" w:rsidRPr="007F2D17" w:rsidRDefault="003859CD" w:rsidP="00C06070">
            <w:pPr>
              <w:spacing w:before="240"/>
              <w:rPr>
                <w:rFonts w:cstheme="minorHAnsi"/>
                <w:sz w:val="18"/>
                <w:szCs w:val="18"/>
              </w:rPr>
            </w:pPr>
            <w:r w:rsidRPr="007F2D17">
              <w:rPr>
                <w:rFonts w:cstheme="minorHAnsi"/>
                <w:sz w:val="18"/>
                <w:szCs w:val="18"/>
              </w:rPr>
              <w:t>a- and above</w:t>
            </w:r>
          </w:p>
        </w:tc>
        <w:tc>
          <w:tcPr>
            <w:tcW w:w="1418" w:type="dxa"/>
          </w:tcPr>
          <w:p w14:paraId="2CFB3B4E" w14:textId="77777777" w:rsidR="003859CD" w:rsidRPr="007F2D17" w:rsidRDefault="003859CD" w:rsidP="00C06070">
            <w:pPr>
              <w:spacing w:before="240"/>
              <w:rPr>
                <w:rFonts w:cstheme="minorHAnsi"/>
                <w:sz w:val="18"/>
                <w:szCs w:val="18"/>
              </w:rPr>
            </w:pPr>
            <w:r w:rsidRPr="007F2D17">
              <w:rPr>
                <w:rFonts w:cstheme="minorHAnsi"/>
                <w:sz w:val="18"/>
                <w:szCs w:val="18"/>
              </w:rPr>
              <w:t xml:space="preserve">1 </w:t>
            </w:r>
          </w:p>
        </w:tc>
        <w:tc>
          <w:tcPr>
            <w:tcW w:w="1559" w:type="dxa"/>
          </w:tcPr>
          <w:p w14:paraId="3D1EE266" w14:textId="77777777" w:rsidR="003859CD" w:rsidRPr="007F2D17" w:rsidRDefault="003859CD" w:rsidP="00C06070">
            <w:pPr>
              <w:spacing w:before="240"/>
              <w:rPr>
                <w:rFonts w:cstheme="minorHAnsi"/>
                <w:sz w:val="18"/>
                <w:szCs w:val="18"/>
              </w:rPr>
            </w:pPr>
            <w:r w:rsidRPr="007F2D17">
              <w:rPr>
                <w:rFonts w:cstheme="minorHAnsi"/>
                <w:sz w:val="18"/>
                <w:szCs w:val="18"/>
              </w:rPr>
              <w:t>AA+ and above</w:t>
            </w:r>
          </w:p>
        </w:tc>
        <w:tc>
          <w:tcPr>
            <w:tcW w:w="1418" w:type="dxa"/>
          </w:tcPr>
          <w:p w14:paraId="64E02C55" w14:textId="77777777" w:rsidR="003859CD" w:rsidRPr="007F2D17" w:rsidRDefault="003859CD" w:rsidP="003859CD">
            <w:pPr>
              <w:spacing w:before="240"/>
              <w:rPr>
                <w:rFonts w:cstheme="minorHAnsi"/>
                <w:sz w:val="18"/>
                <w:szCs w:val="18"/>
              </w:rPr>
            </w:pPr>
            <w:r w:rsidRPr="007F2D17">
              <w:rPr>
                <w:rFonts w:cstheme="minorHAnsi"/>
                <w:sz w:val="18"/>
                <w:szCs w:val="18"/>
              </w:rPr>
              <w:t>£10M (£25M total)</w:t>
            </w:r>
          </w:p>
        </w:tc>
        <w:tc>
          <w:tcPr>
            <w:tcW w:w="1166" w:type="dxa"/>
          </w:tcPr>
          <w:p w14:paraId="0711AB73" w14:textId="77777777" w:rsidR="003859CD" w:rsidRPr="007F2D17" w:rsidRDefault="003859CD" w:rsidP="003859CD">
            <w:pPr>
              <w:spacing w:before="240"/>
              <w:rPr>
                <w:rFonts w:cstheme="minorHAnsi"/>
                <w:sz w:val="18"/>
                <w:szCs w:val="18"/>
              </w:rPr>
            </w:pPr>
            <w:r w:rsidRPr="007F2D17">
              <w:rPr>
                <w:rFonts w:cstheme="minorHAnsi"/>
                <w:sz w:val="18"/>
                <w:szCs w:val="18"/>
              </w:rPr>
              <w:t>12 months</w:t>
            </w:r>
          </w:p>
        </w:tc>
      </w:tr>
    </w:tbl>
    <w:p w14:paraId="11FF1744" w14:textId="77777777" w:rsidR="00786771" w:rsidRDefault="00786771" w:rsidP="00482E01"/>
    <w:p w14:paraId="022C3C1C" w14:textId="77777777" w:rsidR="00C06070" w:rsidRPr="007F2D17" w:rsidRDefault="00C06070" w:rsidP="00482E01">
      <w:pPr>
        <w:rPr>
          <w:b/>
          <w:sz w:val="18"/>
          <w:szCs w:val="18"/>
        </w:rPr>
      </w:pPr>
      <w:r w:rsidRPr="007F2D17">
        <w:rPr>
          <w:b/>
          <w:sz w:val="18"/>
          <w:szCs w:val="18"/>
        </w:rPr>
        <w:t>Notes to Counterparty Criteria</w:t>
      </w:r>
    </w:p>
    <w:p w14:paraId="760ABEAF" w14:textId="77777777" w:rsidR="00C06070" w:rsidRPr="007F2D17" w:rsidRDefault="00C06070" w:rsidP="00C06070">
      <w:pPr>
        <w:rPr>
          <w:sz w:val="18"/>
          <w:szCs w:val="18"/>
        </w:rPr>
      </w:pPr>
      <w:r w:rsidRPr="007F2D17">
        <w:rPr>
          <w:sz w:val="18"/>
          <w:szCs w:val="18"/>
        </w:rPr>
        <w:t>1.</w:t>
      </w:r>
      <w:r w:rsidRPr="007F2D17">
        <w:rPr>
          <w:sz w:val="18"/>
          <w:szCs w:val="18"/>
        </w:rPr>
        <w:tab/>
        <w:t>For each institution meeting the criteria above and subject to the limits for maximum investments, no single investment transaction should be undertaken for more than £10M.</w:t>
      </w:r>
    </w:p>
    <w:p w14:paraId="1542287B" w14:textId="77777777" w:rsidR="00A70A85" w:rsidRPr="007F2D17" w:rsidRDefault="00A70A85" w:rsidP="00C06070">
      <w:pPr>
        <w:rPr>
          <w:sz w:val="18"/>
          <w:szCs w:val="18"/>
        </w:rPr>
      </w:pPr>
      <w:r w:rsidRPr="007F2D17">
        <w:rPr>
          <w:sz w:val="18"/>
          <w:szCs w:val="18"/>
        </w:rPr>
        <w:lastRenderedPageBreak/>
        <w:t>2.</w:t>
      </w:r>
      <w:r w:rsidRPr="007F2D17">
        <w:rPr>
          <w:sz w:val="18"/>
          <w:szCs w:val="18"/>
        </w:rPr>
        <w:tab/>
        <w:t>In interpreting the lending criteri</w:t>
      </w:r>
      <w:r w:rsidR="007E4384" w:rsidRPr="007F2D17">
        <w:rPr>
          <w:sz w:val="18"/>
          <w:szCs w:val="18"/>
        </w:rPr>
        <w:t>a</w:t>
      </w:r>
      <w:r w:rsidRPr="007F2D17">
        <w:rPr>
          <w:sz w:val="18"/>
          <w:szCs w:val="18"/>
        </w:rPr>
        <w:t xml:space="preserve"> detailed above it should be accepted that the part nationalised banks in the UK (Lloyds Group and Royal Bank of Scotland Group) have credit ratings that do not conform to the credit criteria used by Local Authorities to identify banks which are of high credit worthiness. </w:t>
      </w:r>
      <w:proofErr w:type="gramStart"/>
      <w:r w:rsidRPr="007F2D17">
        <w:rPr>
          <w:sz w:val="18"/>
          <w:szCs w:val="18"/>
        </w:rPr>
        <w:t xml:space="preserve">In </w:t>
      </w:r>
      <w:r w:rsidR="007F2D17" w:rsidRPr="007F2D17">
        <w:rPr>
          <w:sz w:val="18"/>
          <w:szCs w:val="18"/>
        </w:rPr>
        <w:t>particular,</w:t>
      </w:r>
      <w:r w:rsidRPr="007F2D17">
        <w:rPr>
          <w:sz w:val="18"/>
          <w:szCs w:val="18"/>
        </w:rPr>
        <w:t xml:space="preserve"> as</w:t>
      </w:r>
      <w:proofErr w:type="gramEnd"/>
      <w:r w:rsidRPr="007F2D17">
        <w:rPr>
          <w:sz w:val="18"/>
          <w:szCs w:val="18"/>
        </w:rPr>
        <w:t xml:space="preserve"> they are no longer separate institutions in their own right it is impossible for Fitch to assign them an individual rating for their stand-alone financial strength. However, these institutions are recipients of an F1+ short term rating as they effectively take on the credit worthiness of the Government i.e. deposits made with them are effectively being made to the Government. They also have a support rating of 1; in other words, on both counts they have the highest ratings possible. Until such time as a decision is made by the Government to dispose of their interests in these banks, investments in these institutions can be made on the basis that they meet the highest criteria. </w:t>
      </w:r>
    </w:p>
    <w:p w14:paraId="2617A644" w14:textId="77777777" w:rsidR="00A70A85" w:rsidRPr="007F2D17" w:rsidRDefault="00A70A85" w:rsidP="00C06070">
      <w:pPr>
        <w:rPr>
          <w:sz w:val="18"/>
          <w:szCs w:val="18"/>
        </w:rPr>
      </w:pPr>
      <w:r w:rsidRPr="007F2D17">
        <w:rPr>
          <w:sz w:val="18"/>
          <w:szCs w:val="18"/>
        </w:rPr>
        <w:t>3.</w:t>
      </w:r>
      <w:r w:rsidRPr="007F2D17">
        <w:rPr>
          <w:sz w:val="18"/>
          <w:szCs w:val="18"/>
        </w:rPr>
        <w:tab/>
        <w:t xml:space="preserve">Each individual Money Market Fund (MMF) used must be separately approved by the St Helens </w:t>
      </w:r>
      <w:r w:rsidR="0098641C" w:rsidRPr="007F2D17">
        <w:rPr>
          <w:sz w:val="18"/>
          <w:szCs w:val="18"/>
        </w:rPr>
        <w:t xml:space="preserve">Treasurer via a St Helens Council </w:t>
      </w:r>
      <w:r w:rsidRPr="007F2D17">
        <w:rPr>
          <w:sz w:val="18"/>
          <w:szCs w:val="18"/>
        </w:rPr>
        <w:t>Administrative Decision.</w:t>
      </w:r>
    </w:p>
    <w:p w14:paraId="74523F4A" w14:textId="77777777" w:rsidR="00133551" w:rsidRDefault="00133551" w:rsidP="00C06070">
      <w:pPr>
        <w:sectPr w:rsidR="00133551" w:rsidSect="00593C91">
          <w:pgSz w:w="16838" w:h="11906" w:orient="landscape"/>
          <w:pgMar w:top="1440" w:right="1440" w:bottom="1440" w:left="1440" w:header="708" w:footer="708" w:gutter="0"/>
          <w:cols w:space="708"/>
          <w:docGrid w:linePitch="360"/>
        </w:sectPr>
      </w:pPr>
    </w:p>
    <w:p w14:paraId="1252E9C1" w14:textId="77777777" w:rsidR="00133551" w:rsidRPr="00133551" w:rsidRDefault="00133551" w:rsidP="00133551">
      <w:pPr>
        <w:jc w:val="right"/>
        <w:rPr>
          <w:b/>
        </w:rPr>
      </w:pPr>
      <w:r w:rsidRPr="00133551">
        <w:rPr>
          <w:b/>
        </w:rPr>
        <w:lastRenderedPageBreak/>
        <w:t xml:space="preserve">Annex </w:t>
      </w:r>
      <w:r w:rsidR="005303AF">
        <w:rPr>
          <w:b/>
        </w:rPr>
        <w:t>3</w:t>
      </w:r>
    </w:p>
    <w:p w14:paraId="11DE4BEF" w14:textId="77777777" w:rsidR="00133551" w:rsidRPr="00133551" w:rsidRDefault="00133551" w:rsidP="00C06070">
      <w:pPr>
        <w:rPr>
          <w:b/>
        </w:rPr>
      </w:pPr>
      <w:r w:rsidRPr="00133551">
        <w:rPr>
          <w:b/>
        </w:rPr>
        <w:t>Treasury Limits and Prudential Indicators</w:t>
      </w:r>
    </w:p>
    <w:tbl>
      <w:tblPr>
        <w:tblStyle w:val="TableGrid"/>
        <w:tblW w:w="0" w:type="auto"/>
        <w:tblLook w:val="04A0" w:firstRow="1" w:lastRow="0" w:firstColumn="1" w:lastColumn="0" w:noHBand="0" w:noVBand="1"/>
      </w:tblPr>
      <w:tblGrid>
        <w:gridCol w:w="536"/>
        <w:gridCol w:w="1349"/>
        <w:gridCol w:w="1335"/>
        <w:gridCol w:w="1449"/>
        <w:gridCol w:w="1449"/>
        <w:gridCol w:w="1449"/>
        <w:gridCol w:w="1449"/>
      </w:tblGrid>
      <w:tr w:rsidR="00133551" w:rsidRPr="00802E87" w14:paraId="29C24794" w14:textId="77777777" w:rsidTr="00153AC7">
        <w:trPr>
          <w:trHeight w:val="1382"/>
        </w:trPr>
        <w:tc>
          <w:tcPr>
            <w:tcW w:w="4672" w:type="dxa"/>
            <w:gridSpan w:val="3"/>
          </w:tcPr>
          <w:p w14:paraId="1813D9DB" w14:textId="77777777" w:rsidR="00133551" w:rsidRPr="00802E87" w:rsidRDefault="00133551" w:rsidP="00133551">
            <w:pPr>
              <w:rPr>
                <w:b/>
              </w:rPr>
            </w:pPr>
            <w:r w:rsidRPr="00802E87">
              <w:rPr>
                <w:b/>
              </w:rPr>
              <w:t>Treasury Limits and Prudential Indicators</w:t>
            </w:r>
          </w:p>
          <w:p w14:paraId="4C996BB8" w14:textId="77777777" w:rsidR="00133551" w:rsidRPr="00802E87" w:rsidRDefault="00A556E8" w:rsidP="00877624">
            <w:pPr>
              <w:rPr>
                <w:b/>
              </w:rPr>
            </w:pPr>
            <w:r w:rsidRPr="00802E87">
              <w:rPr>
                <w:b/>
              </w:rPr>
              <w:t>20</w:t>
            </w:r>
            <w:r w:rsidR="00377B10">
              <w:rPr>
                <w:b/>
              </w:rPr>
              <w:t>20</w:t>
            </w:r>
            <w:r w:rsidR="00133551" w:rsidRPr="00802E87">
              <w:rPr>
                <w:b/>
              </w:rPr>
              <w:t>/</w:t>
            </w:r>
            <w:r w:rsidR="00377B10">
              <w:rPr>
                <w:b/>
              </w:rPr>
              <w:t>21</w:t>
            </w:r>
            <w:r w:rsidR="00133551" w:rsidRPr="00802E87">
              <w:rPr>
                <w:b/>
              </w:rPr>
              <w:t xml:space="preserve"> to 20</w:t>
            </w:r>
            <w:r w:rsidR="00877624">
              <w:rPr>
                <w:b/>
              </w:rPr>
              <w:t>2</w:t>
            </w:r>
            <w:r w:rsidR="00377B10">
              <w:rPr>
                <w:b/>
              </w:rPr>
              <w:t>2</w:t>
            </w:r>
            <w:r w:rsidR="00133551" w:rsidRPr="00802E87">
              <w:rPr>
                <w:b/>
              </w:rPr>
              <w:t>/</w:t>
            </w:r>
            <w:r w:rsidRPr="00802E87">
              <w:rPr>
                <w:b/>
              </w:rPr>
              <w:t>2</w:t>
            </w:r>
            <w:r w:rsidR="00377B10">
              <w:rPr>
                <w:b/>
              </w:rPr>
              <w:t>4</w:t>
            </w:r>
          </w:p>
        </w:tc>
        <w:tc>
          <w:tcPr>
            <w:tcW w:w="1134" w:type="dxa"/>
          </w:tcPr>
          <w:p w14:paraId="34C63E6C" w14:textId="77777777" w:rsidR="00133551" w:rsidRPr="00802E87" w:rsidRDefault="00CF4AEA" w:rsidP="007F2D17">
            <w:pPr>
              <w:ind w:left="0" w:firstLine="0"/>
              <w:rPr>
                <w:b/>
              </w:rPr>
            </w:pPr>
            <w:r w:rsidRPr="00802E87">
              <w:rPr>
                <w:b/>
              </w:rPr>
              <w:t>20</w:t>
            </w:r>
            <w:r w:rsidR="00377B10">
              <w:rPr>
                <w:b/>
              </w:rPr>
              <w:t>20</w:t>
            </w:r>
            <w:r w:rsidR="00133551" w:rsidRPr="00802E87">
              <w:rPr>
                <w:b/>
              </w:rPr>
              <w:t>/</w:t>
            </w:r>
            <w:r w:rsidR="00377B10">
              <w:rPr>
                <w:b/>
              </w:rPr>
              <w:t>21</w:t>
            </w:r>
            <w:r w:rsidR="00133551" w:rsidRPr="00802E87">
              <w:rPr>
                <w:b/>
              </w:rPr>
              <w:t xml:space="preserve"> Revised</w:t>
            </w:r>
          </w:p>
        </w:tc>
        <w:tc>
          <w:tcPr>
            <w:tcW w:w="1134" w:type="dxa"/>
          </w:tcPr>
          <w:p w14:paraId="34558123" w14:textId="77777777" w:rsidR="00133551" w:rsidRPr="00802E87" w:rsidRDefault="005B5E63" w:rsidP="007F2D17">
            <w:pPr>
              <w:ind w:left="0" w:firstLine="0"/>
              <w:rPr>
                <w:b/>
              </w:rPr>
            </w:pPr>
            <w:r w:rsidRPr="00802E87">
              <w:rPr>
                <w:b/>
              </w:rPr>
              <w:t>2</w:t>
            </w:r>
            <w:r w:rsidR="007F2D17">
              <w:rPr>
                <w:b/>
              </w:rPr>
              <w:t>02</w:t>
            </w:r>
            <w:r w:rsidR="00377B10">
              <w:rPr>
                <w:b/>
              </w:rPr>
              <w:t>1</w:t>
            </w:r>
            <w:r w:rsidRPr="00802E87">
              <w:rPr>
                <w:b/>
              </w:rPr>
              <w:t>/</w:t>
            </w:r>
            <w:r w:rsidR="006A2841">
              <w:rPr>
                <w:b/>
              </w:rPr>
              <w:t>2</w:t>
            </w:r>
            <w:r w:rsidR="00377B10">
              <w:rPr>
                <w:b/>
              </w:rPr>
              <w:t>2</w:t>
            </w:r>
            <w:r w:rsidR="00133551" w:rsidRPr="00802E87">
              <w:rPr>
                <w:b/>
              </w:rPr>
              <w:t xml:space="preserve"> Estimates</w:t>
            </w:r>
          </w:p>
        </w:tc>
        <w:tc>
          <w:tcPr>
            <w:tcW w:w="1134" w:type="dxa"/>
          </w:tcPr>
          <w:p w14:paraId="4F47F5A1" w14:textId="77777777" w:rsidR="006A2841" w:rsidRDefault="00133551" w:rsidP="006A2841">
            <w:pPr>
              <w:ind w:left="0" w:firstLine="0"/>
              <w:rPr>
                <w:b/>
              </w:rPr>
            </w:pPr>
            <w:r w:rsidRPr="00802E87">
              <w:rPr>
                <w:b/>
              </w:rPr>
              <w:t>20</w:t>
            </w:r>
            <w:r w:rsidR="007F2D17">
              <w:rPr>
                <w:b/>
              </w:rPr>
              <w:t>2</w:t>
            </w:r>
            <w:r w:rsidR="00377B10">
              <w:rPr>
                <w:b/>
              </w:rPr>
              <w:t>2</w:t>
            </w:r>
            <w:r w:rsidRPr="00802E87">
              <w:rPr>
                <w:b/>
              </w:rPr>
              <w:t>/</w:t>
            </w:r>
            <w:r w:rsidR="00D03486" w:rsidRPr="00802E87">
              <w:rPr>
                <w:b/>
              </w:rPr>
              <w:t>2</w:t>
            </w:r>
            <w:r w:rsidR="00377B10">
              <w:rPr>
                <w:b/>
              </w:rPr>
              <w:t>3</w:t>
            </w:r>
          </w:p>
          <w:p w14:paraId="16A6FA22" w14:textId="77777777" w:rsidR="00133551" w:rsidRPr="00802E87" w:rsidRDefault="00133551" w:rsidP="006A2841">
            <w:pPr>
              <w:ind w:left="0" w:firstLine="0"/>
              <w:rPr>
                <w:b/>
              </w:rPr>
            </w:pPr>
            <w:r w:rsidRPr="00802E87">
              <w:rPr>
                <w:b/>
              </w:rPr>
              <w:t>Estimates</w:t>
            </w:r>
          </w:p>
        </w:tc>
        <w:tc>
          <w:tcPr>
            <w:tcW w:w="1134" w:type="dxa"/>
          </w:tcPr>
          <w:p w14:paraId="1ED69942" w14:textId="77777777" w:rsidR="00133551" w:rsidRPr="00802E87" w:rsidRDefault="00133551" w:rsidP="007F2D17">
            <w:pPr>
              <w:ind w:left="0" w:firstLine="0"/>
              <w:rPr>
                <w:b/>
              </w:rPr>
            </w:pPr>
            <w:r w:rsidRPr="00802E87">
              <w:rPr>
                <w:b/>
              </w:rPr>
              <w:t>20</w:t>
            </w:r>
            <w:r w:rsidR="00D03486" w:rsidRPr="00802E87">
              <w:rPr>
                <w:b/>
              </w:rPr>
              <w:t>2</w:t>
            </w:r>
            <w:r w:rsidR="00377B10">
              <w:rPr>
                <w:b/>
              </w:rPr>
              <w:t>3</w:t>
            </w:r>
            <w:r w:rsidRPr="00802E87">
              <w:rPr>
                <w:b/>
              </w:rPr>
              <w:t>/</w:t>
            </w:r>
            <w:r w:rsidR="00CF4AEA" w:rsidRPr="00802E87">
              <w:rPr>
                <w:b/>
              </w:rPr>
              <w:t>2</w:t>
            </w:r>
            <w:r w:rsidR="00377B10">
              <w:rPr>
                <w:b/>
              </w:rPr>
              <w:t>4</w:t>
            </w:r>
            <w:r w:rsidRPr="00802E87">
              <w:rPr>
                <w:b/>
              </w:rPr>
              <w:t xml:space="preserve"> Estimates</w:t>
            </w:r>
          </w:p>
        </w:tc>
      </w:tr>
      <w:tr w:rsidR="007123C3" w:rsidRPr="00A556E8" w14:paraId="6EB2AF31" w14:textId="77777777" w:rsidTr="00A24D17">
        <w:tc>
          <w:tcPr>
            <w:tcW w:w="562" w:type="dxa"/>
          </w:tcPr>
          <w:p w14:paraId="1D40C100" w14:textId="77777777" w:rsidR="00133551" w:rsidRPr="00A556E8" w:rsidRDefault="00133551" w:rsidP="00C06070">
            <w:r w:rsidRPr="00A556E8">
              <w:t>1(</w:t>
            </w:r>
            <w:proofErr w:type="spellStart"/>
            <w:r w:rsidRPr="00A556E8">
              <w:t>i</w:t>
            </w:r>
            <w:proofErr w:type="spellEnd"/>
            <w:r w:rsidRPr="00A556E8">
              <w:t>)</w:t>
            </w:r>
          </w:p>
        </w:tc>
        <w:tc>
          <w:tcPr>
            <w:tcW w:w="2268" w:type="dxa"/>
          </w:tcPr>
          <w:p w14:paraId="5838D45F" w14:textId="77777777" w:rsidR="00133551" w:rsidRPr="00A556E8" w:rsidRDefault="00133551" w:rsidP="00877624">
            <w:pPr>
              <w:ind w:left="0" w:firstLine="0"/>
            </w:pPr>
            <w:r w:rsidRPr="00A556E8">
              <w:t xml:space="preserve">Proposed </w:t>
            </w:r>
            <w:r w:rsidR="005B5E63">
              <w:t>Capital</w:t>
            </w:r>
            <w:r w:rsidRPr="00A556E8">
              <w:t xml:space="preserve"> expenditure that the Authority plans to commit during the forthcoming subsequent two financial years</w:t>
            </w:r>
          </w:p>
        </w:tc>
        <w:tc>
          <w:tcPr>
            <w:tcW w:w="1842" w:type="dxa"/>
          </w:tcPr>
          <w:p w14:paraId="17382345" w14:textId="77777777" w:rsidR="00133551" w:rsidRPr="00A556E8" w:rsidRDefault="005B5E63" w:rsidP="00877624">
            <w:pPr>
              <w:ind w:left="0" w:firstLine="0"/>
              <w:rPr>
                <w:b/>
              </w:rPr>
            </w:pPr>
            <w:r>
              <w:rPr>
                <w:b/>
              </w:rPr>
              <w:t>Capital</w:t>
            </w:r>
            <w:r w:rsidR="00133551" w:rsidRPr="00A556E8">
              <w:rPr>
                <w:b/>
              </w:rPr>
              <w:t xml:space="preserve"> Expenditure (£M)</w:t>
            </w:r>
          </w:p>
        </w:tc>
        <w:tc>
          <w:tcPr>
            <w:tcW w:w="1134" w:type="dxa"/>
          </w:tcPr>
          <w:p w14:paraId="5FADD0FA" w14:textId="77777777" w:rsidR="00533DCE" w:rsidRPr="009D759E" w:rsidRDefault="00533DCE" w:rsidP="00533DCE">
            <w:pPr>
              <w:jc w:val="right"/>
            </w:pPr>
          </w:p>
          <w:p w14:paraId="2A36E887" w14:textId="77777777" w:rsidR="00133551" w:rsidRPr="009D759E" w:rsidRDefault="00145267" w:rsidP="0018585E">
            <w:pPr>
              <w:jc w:val="right"/>
            </w:pPr>
            <w:r w:rsidRPr="009D759E">
              <w:t>0.</w:t>
            </w:r>
            <w:r w:rsidR="0018585E" w:rsidRPr="009D759E">
              <w:t>237</w:t>
            </w:r>
          </w:p>
        </w:tc>
        <w:tc>
          <w:tcPr>
            <w:tcW w:w="1134" w:type="dxa"/>
          </w:tcPr>
          <w:p w14:paraId="1783577D" w14:textId="77777777" w:rsidR="00533DCE" w:rsidRPr="009D759E" w:rsidRDefault="00533DCE" w:rsidP="00533DCE">
            <w:pPr>
              <w:jc w:val="right"/>
            </w:pPr>
          </w:p>
          <w:p w14:paraId="24C02516" w14:textId="77777777" w:rsidR="00133551" w:rsidRPr="009D759E" w:rsidRDefault="00377B10" w:rsidP="009D759E">
            <w:pPr>
              <w:jc w:val="right"/>
            </w:pPr>
            <w:r>
              <w:t>1.206</w:t>
            </w:r>
          </w:p>
        </w:tc>
        <w:tc>
          <w:tcPr>
            <w:tcW w:w="1134" w:type="dxa"/>
          </w:tcPr>
          <w:p w14:paraId="7A5B8C30" w14:textId="77777777" w:rsidR="00533DCE" w:rsidRPr="009D759E" w:rsidRDefault="00533DCE" w:rsidP="00533DCE">
            <w:pPr>
              <w:jc w:val="right"/>
            </w:pPr>
          </w:p>
          <w:p w14:paraId="251E0D6B" w14:textId="77777777" w:rsidR="00133551" w:rsidRPr="009D759E" w:rsidRDefault="00A03DDB" w:rsidP="009D759E">
            <w:pPr>
              <w:jc w:val="right"/>
            </w:pPr>
            <w:r w:rsidRPr="009D759E">
              <w:t>0.</w:t>
            </w:r>
            <w:r w:rsidR="00377B10">
              <w:t>295</w:t>
            </w:r>
          </w:p>
        </w:tc>
        <w:tc>
          <w:tcPr>
            <w:tcW w:w="1134" w:type="dxa"/>
          </w:tcPr>
          <w:p w14:paraId="0CF57EA4" w14:textId="77777777" w:rsidR="00533DCE" w:rsidRPr="009D759E" w:rsidRDefault="00533DCE" w:rsidP="00533DCE">
            <w:pPr>
              <w:jc w:val="right"/>
            </w:pPr>
          </w:p>
          <w:p w14:paraId="410818F8" w14:textId="77777777" w:rsidR="00133551" w:rsidRPr="009D759E" w:rsidRDefault="00A03DDB" w:rsidP="009D759E">
            <w:pPr>
              <w:jc w:val="right"/>
            </w:pPr>
            <w:r w:rsidRPr="009D759E">
              <w:t>0.</w:t>
            </w:r>
            <w:r w:rsidR="009D759E" w:rsidRPr="009D759E">
              <w:t>2</w:t>
            </w:r>
            <w:r w:rsidR="00377B10">
              <w:t>95</w:t>
            </w:r>
          </w:p>
        </w:tc>
      </w:tr>
      <w:tr w:rsidR="007123C3" w:rsidRPr="00A556E8" w14:paraId="1B5A6CCA" w14:textId="77777777" w:rsidTr="00A24D17">
        <w:tc>
          <w:tcPr>
            <w:tcW w:w="562" w:type="dxa"/>
          </w:tcPr>
          <w:p w14:paraId="57F7E77B" w14:textId="77777777" w:rsidR="00133551" w:rsidRPr="00A556E8" w:rsidRDefault="00133551" w:rsidP="00C06070">
            <w:r w:rsidRPr="00A556E8">
              <w:t>1(ii)</w:t>
            </w:r>
          </w:p>
        </w:tc>
        <w:tc>
          <w:tcPr>
            <w:tcW w:w="2268" w:type="dxa"/>
          </w:tcPr>
          <w:p w14:paraId="5C783D1D" w14:textId="77777777" w:rsidR="00133551" w:rsidRPr="00A556E8" w:rsidRDefault="00133551" w:rsidP="00877624">
            <w:pPr>
              <w:ind w:left="0" w:firstLine="0"/>
            </w:pPr>
            <w:r w:rsidRPr="00A556E8">
              <w:t xml:space="preserve">Additional in year borrowing requirement for </w:t>
            </w:r>
            <w:r w:rsidR="005B5E63">
              <w:t>Capital</w:t>
            </w:r>
            <w:r w:rsidRPr="00A556E8">
              <w:t xml:space="preserve"> expenditure</w:t>
            </w:r>
          </w:p>
        </w:tc>
        <w:tc>
          <w:tcPr>
            <w:tcW w:w="1842" w:type="dxa"/>
          </w:tcPr>
          <w:p w14:paraId="0BCD5CCD" w14:textId="77777777" w:rsidR="00133551" w:rsidRPr="00A556E8" w:rsidRDefault="00133551" w:rsidP="00877624">
            <w:pPr>
              <w:ind w:left="0" w:firstLine="0"/>
              <w:rPr>
                <w:b/>
              </w:rPr>
            </w:pPr>
            <w:r w:rsidRPr="00A556E8">
              <w:rPr>
                <w:b/>
              </w:rPr>
              <w:t xml:space="preserve">In year </w:t>
            </w:r>
            <w:r w:rsidR="005B5E63">
              <w:rPr>
                <w:b/>
              </w:rPr>
              <w:t>Capital</w:t>
            </w:r>
            <w:r w:rsidRPr="00A556E8">
              <w:rPr>
                <w:b/>
              </w:rPr>
              <w:t xml:space="preserve"> Financing Requirement (CFR) (£M)</w:t>
            </w:r>
          </w:p>
        </w:tc>
        <w:tc>
          <w:tcPr>
            <w:tcW w:w="1134" w:type="dxa"/>
          </w:tcPr>
          <w:p w14:paraId="606DE117" w14:textId="77777777" w:rsidR="00533DCE" w:rsidRPr="009D759E" w:rsidRDefault="00533DCE" w:rsidP="00533DCE">
            <w:pPr>
              <w:jc w:val="right"/>
            </w:pPr>
          </w:p>
          <w:p w14:paraId="7261072B" w14:textId="77777777" w:rsidR="00133551" w:rsidRPr="009D759E" w:rsidRDefault="0077213A" w:rsidP="0018585E">
            <w:pPr>
              <w:jc w:val="right"/>
            </w:pPr>
            <w:r w:rsidRPr="009D759E">
              <w:t>(</w:t>
            </w:r>
            <w:r w:rsidR="0018585E" w:rsidRPr="009D759E">
              <w:t>12.</w:t>
            </w:r>
            <w:r w:rsidR="00377B10">
              <w:t>677</w:t>
            </w:r>
            <w:r w:rsidRPr="009D759E">
              <w:t>)</w:t>
            </w:r>
          </w:p>
        </w:tc>
        <w:tc>
          <w:tcPr>
            <w:tcW w:w="1134" w:type="dxa"/>
          </w:tcPr>
          <w:p w14:paraId="0F5CF855" w14:textId="77777777" w:rsidR="00533DCE" w:rsidRPr="009D759E" w:rsidRDefault="00533DCE" w:rsidP="00533DCE">
            <w:pPr>
              <w:jc w:val="right"/>
            </w:pPr>
          </w:p>
          <w:p w14:paraId="7CAF8428" w14:textId="77777777" w:rsidR="00133551" w:rsidRPr="009D759E" w:rsidRDefault="0077213A" w:rsidP="009D759E">
            <w:pPr>
              <w:jc w:val="right"/>
            </w:pPr>
            <w:r w:rsidRPr="009D759E">
              <w:t>(</w:t>
            </w:r>
            <w:r w:rsidR="009D759E" w:rsidRPr="009D759E">
              <w:t>1</w:t>
            </w:r>
            <w:r w:rsidR="00377B10">
              <w:t>1.701</w:t>
            </w:r>
            <w:r w:rsidRPr="009D759E">
              <w:t>)</w:t>
            </w:r>
          </w:p>
        </w:tc>
        <w:tc>
          <w:tcPr>
            <w:tcW w:w="1134" w:type="dxa"/>
          </w:tcPr>
          <w:p w14:paraId="746DE3F8" w14:textId="77777777" w:rsidR="00533DCE" w:rsidRPr="009D759E" w:rsidRDefault="00533DCE" w:rsidP="00533DCE">
            <w:pPr>
              <w:jc w:val="right"/>
            </w:pPr>
          </w:p>
          <w:p w14:paraId="36CFA199" w14:textId="77777777" w:rsidR="00133551" w:rsidRPr="009D759E" w:rsidRDefault="00A03DDB" w:rsidP="009D759E">
            <w:pPr>
              <w:jc w:val="right"/>
            </w:pPr>
            <w:r w:rsidRPr="009D759E">
              <w:t>(</w:t>
            </w:r>
            <w:r w:rsidR="009D759E" w:rsidRPr="009D759E">
              <w:t>12.</w:t>
            </w:r>
            <w:r w:rsidR="00377B10">
              <w:t>612</w:t>
            </w:r>
            <w:r w:rsidR="0077213A" w:rsidRPr="009D759E">
              <w:t>)</w:t>
            </w:r>
          </w:p>
        </w:tc>
        <w:tc>
          <w:tcPr>
            <w:tcW w:w="1134" w:type="dxa"/>
          </w:tcPr>
          <w:p w14:paraId="567731D6" w14:textId="77777777" w:rsidR="00533DCE" w:rsidRPr="009D759E" w:rsidRDefault="00533DCE" w:rsidP="00533DCE">
            <w:pPr>
              <w:jc w:val="right"/>
            </w:pPr>
          </w:p>
          <w:p w14:paraId="35BFD4FB" w14:textId="77777777" w:rsidR="00133551" w:rsidRPr="009D759E" w:rsidRDefault="0077213A" w:rsidP="003E4CFE">
            <w:pPr>
              <w:jc w:val="right"/>
            </w:pPr>
            <w:r w:rsidRPr="009D759E">
              <w:t>(</w:t>
            </w:r>
            <w:r w:rsidR="009D759E" w:rsidRPr="009D759E">
              <w:t>12.612</w:t>
            </w:r>
            <w:r w:rsidRPr="009D759E">
              <w:t>)</w:t>
            </w:r>
          </w:p>
        </w:tc>
      </w:tr>
      <w:tr w:rsidR="007123C3" w:rsidRPr="00A556E8" w14:paraId="0BB9E15D" w14:textId="77777777" w:rsidTr="00A24D17">
        <w:tc>
          <w:tcPr>
            <w:tcW w:w="562" w:type="dxa"/>
          </w:tcPr>
          <w:p w14:paraId="770C3F6C" w14:textId="77777777" w:rsidR="00133551" w:rsidRPr="00A556E8" w:rsidRDefault="00133551" w:rsidP="00C06070">
            <w:r w:rsidRPr="00A556E8">
              <w:t>2</w:t>
            </w:r>
          </w:p>
        </w:tc>
        <w:tc>
          <w:tcPr>
            <w:tcW w:w="2268" w:type="dxa"/>
          </w:tcPr>
          <w:p w14:paraId="2BE9FB5C" w14:textId="77777777" w:rsidR="00133551" w:rsidRPr="00A556E8" w:rsidRDefault="00133551" w:rsidP="00877624">
            <w:pPr>
              <w:ind w:left="0" w:firstLine="0"/>
            </w:pPr>
            <w:r w:rsidRPr="00A556E8">
              <w:t xml:space="preserve">The CFR is an aggregation of historic and cumulative </w:t>
            </w:r>
            <w:r w:rsidR="005B5E63">
              <w:t>Capital</w:t>
            </w:r>
            <w:r w:rsidRPr="00A556E8">
              <w:t xml:space="preserve"> expenditure which has yet been paid for</w:t>
            </w:r>
            <w:r w:rsidR="003A6601" w:rsidRPr="00A556E8">
              <w:t xml:space="preserve"> by either revenue or </w:t>
            </w:r>
            <w:r w:rsidR="005B5E63">
              <w:t>Capital</w:t>
            </w:r>
            <w:r w:rsidR="003A6601" w:rsidRPr="00A556E8">
              <w:t xml:space="preserve"> resources</w:t>
            </w:r>
          </w:p>
        </w:tc>
        <w:tc>
          <w:tcPr>
            <w:tcW w:w="1842" w:type="dxa"/>
          </w:tcPr>
          <w:p w14:paraId="4A5CCC44" w14:textId="77777777" w:rsidR="00133551" w:rsidRPr="00A556E8" w:rsidRDefault="005B5E63" w:rsidP="00877624">
            <w:pPr>
              <w:ind w:left="0" w:firstLine="0"/>
              <w:rPr>
                <w:b/>
              </w:rPr>
            </w:pPr>
            <w:r>
              <w:rPr>
                <w:b/>
              </w:rPr>
              <w:t>Capital</w:t>
            </w:r>
            <w:r w:rsidR="003A6601" w:rsidRPr="00A556E8">
              <w:rPr>
                <w:b/>
              </w:rPr>
              <w:t xml:space="preserve"> Financing Requirement as at 31 March (£</w:t>
            </w:r>
            <w:proofErr w:type="gramStart"/>
            <w:r w:rsidR="003A6601" w:rsidRPr="00A556E8">
              <w:rPr>
                <w:b/>
              </w:rPr>
              <w:t>M)</w:t>
            </w:r>
            <w:r w:rsidR="0077213A" w:rsidRPr="00A556E8">
              <w:rPr>
                <w:b/>
              </w:rPr>
              <w:t>*</w:t>
            </w:r>
            <w:proofErr w:type="gramEnd"/>
          </w:p>
        </w:tc>
        <w:tc>
          <w:tcPr>
            <w:tcW w:w="1134" w:type="dxa"/>
          </w:tcPr>
          <w:p w14:paraId="6515305B" w14:textId="77777777" w:rsidR="00533DCE" w:rsidRPr="009D759E" w:rsidRDefault="00533DCE" w:rsidP="00533DCE">
            <w:pPr>
              <w:jc w:val="right"/>
            </w:pPr>
          </w:p>
          <w:p w14:paraId="78ED0339" w14:textId="77777777" w:rsidR="00133551" w:rsidRPr="009D759E" w:rsidRDefault="00377B10" w:rsidP="001B2695">
            <w:pPr>
              <w:jc w:val="right"/>
            </w:pPr>
            <w:r>
              <w:t>55.669</w:t>
            </w:r>
          </w:p>
        </w:tc>
        <w:tc>
          <w:tcPr>
            <w:tcW w:w="1134" w:type="dxa"/>
          </w:tcPr>
          <w:p w14:paraId="37A19EB0" w14:textId="77777777" w:rsidR="00533DCE" w:rsidRPr="009D759E" w:rsidRDefault="00533DCE" w:rsidP="00533DCE">
            <w:pPr>
              <w:jc w:val="right"/>
            </w:pPr>
          </w:p>
          <w:p w14:paraId="4E519EE0" w14:textId="77777777" w:rsidR="00133551" w:rsidRPr="009D759E" w:rsidRDefault="00377B10" w:rsidP="001B2695">
            <w:pPr>
              <w:jc w:val="right"/>
            </w:pPr>
            <w:r>
              <w:t>79.152</w:t>
            </w:r>
          </w:p>
        </w:tc>
        <w:tc>
          <w:tcPr>
            <w:tcW w:w="1134" w:type="dxa"/>
          </w:tcPr>
          <w:p w14:paraId="2C48E885" w14:textId="77777777" w:rsidR="00533DCE" w:rsidRPr="009D759E" w:rsidRDefault="00533DCE" w:rsidP="00533DCE">
            <w:pPr>
              <w:jc w:val="right"/>
            </w:pPr>
          </w:p>
          <w:p w14:paraId="040CF470" w14:textId="77777777" w:rsidR="00133551" w:rsidRPr="009D759E" w:rsidRDefault="00377B10" w:rsidP="00CE1851">
            <w:pPr>
              <w:jc w:val="right"/>
            </w:pPr>
            <w:r>
              <w:t>91.674</w:t>
            </w:r>
          </w:p>
        </w:tc>
        <w:tc>
          <w:tcPr>
            <w:tcW w:w="1134" w:type="dxa"/>
          </w:tcPr>
          <w:p w14:paraId="000A100F" w14:textId="77777777" w:rsidR="00533DCE" w:rsidRPr="009D759E" w:rsidRDefault="00533DCE" w:rsidP="00533DCE">
            <w:pPr>
              <w:jc w:val="right"/>
            </w:pPr>
          </w:p>
          <w:p w14:paraId="1D16B8BD" w14:textId="77777777" w:rsidR="00133551" w:rsidRPr="009D759E" w:rsidRDefault="00377B10" w:rsidP="00533DCE">
            <w:pPr>
              <w:jc w:val="right"/>
            </w:pPr>
            <w:r>
              <w:t>93.111</w:t>
            </w:r>
          </w:p>
        </w:tc>
      </w:tr>
      <w:tr w:rsidR="007123C3" w:rsidRPr="00A556E8" w14:paraId="211A48C9" w14:textId="77777777" w:rsidTr="00A24D17">
        <w:tc>
          <w:tcPr>
            <w:tcW w:w="562" w:type="dxa"/>
          </w:tcPr>
          <w:p w14:paraId="75075E76" w14:textId="77777777" w:rsidR="00133551" w:rsidRPr="00A556E8" w:rsidRDefault="003A6601" w:rsidP="00C06070">
            <w:r w:rsidRPr="00A556E8">
              <w:t>3</w:t>
            </w:r>
          </w:p>
        </w:tc>
        <w:tc>
          <w:tcPr>
            <w:tcW w:w="2268" w:type="dxa"/>
          </w:tcPr>
          <w:p w14:paraId="36BFBF1E" w14:textId="77777777" w:rsidR="00133551" w:rsidRPr="00A556E8" w:rsidRDefault="003A6601" w:rsidP="00877624">
            <w:pPr>
              <w:ind w:left="0" w:firstLine="0"/>
            </w:pPr>
            <w:r w:rsidRPr="00A556E8">
              <w:t xml:space="preserve">The ‘net borrowing’ position represents the net of the Authority’s gross </w:t>
            </w:r>
            <w:r w:rsidRPr="00A556E8">
              <w:lastRenderedPageBreak/>
              <w:t>external borrowing and investments sums held</w:t>
            </w:r>
          </w:p>
        </w:tc>
        <w:tc>
          <w:tcPr>
            <w:tcW w:w="1842" w:type="dxa"/>
          </w:tcPr>
          <w:p w14:paraId="7513AB40" w14:textId="77777777" w:rsidR="00133551" w:rsidRPr="00A556E8" w:rsidRDefault="003A6601" w:rsidP="00877624">
            <w:pPr>
              <w:ind w:left="0" w:firstLine="0"/>
              <w:rPr>
                <w:b/>
              </w:rPr>
            </w:pPr>
            <w:r w:rsidRPr="00A556E8">
              <w:rPr>
                <w:b/>
              </w:rPr>
              <w:lastRenderedPageBreak/>
              <w:t>Net Borrowing requirement:</w:t>
            </w:r>
          </w:p>
          <w:p w14:paraId="0E9DAFC9" w14:textId="77777777" w:rsidR="003A6601" w:rsidRPr="00A556E8" w:rsidRDefault="003A6601" w:rsidP="00877624">
            <w:pPr>
              <w:ind w:left="0" w:firstLine="0"/>
              <w:rPr>
                <w:b/>
              </w:rPr>
            </w:pPr>
            <w:r w:rsidRPr="00A556E8">
              <w:rPr>
                <w:b/>
              </w:rPr>
              <w:t>External borrowing (£M)</w:t>
            </w:r>
          </w:p>
          <w:p w14:paraId="526D7D79" w14:textId="77777777" w:rsidR="003A6601" w:rsidRPr="00A556E8" w:rsidRDefault="003A6601" w:rsidP="00877624">
            <w:pPr>
              <w:ind w:left="0" w:firstLine="0"/>
              <w:rPr>
                <w:b/>
              </w:rPr>
            </w:pPr>
            <w:r w:rsidRPr="00A556E8">
              <w:rPr>
                <w:b/>
              </w:rPr>
              <w:lastRenderedPageBreak/>
              <w:t>Investments held (£M)</w:t>
            </w:r>
          </w:p>
          <w:p w14:paraId="4D73616C" w14:textId="77777777" w:rsidR="003A6601" w:rsidRPr="00A556E8" w:rsidRDefault="003A6601" w:rsidP="00877624">
            <w:pPr>
              <w:ind w:left="0" w:firstLine="0"/>
              <w:rPr>
                <w:b/>
              </w:rPr>
            </w:pPr>
            <w:r w:rsidRPr="00A556E8">
              <w:rPr>
                <w:b/>
              </w:rPr>
              <w:t>Net requirement (£M)</w:t>
            </w:r>
          </w:p>
        </w:tc>
        <w:tc>
          <w:tcPr>
            <w:tcW w:w="1134" w:type="dxa"/>
          </w:tcPr>
          <w:p w14:paraId="5E6D5D99" w14:textId="77777777" w:rsidR="0077213A" w:rsidRPr="009D759E" w:rsidRDefault="0077213A" w:rsidP="00533DCE">
            <w:pPr>
              <w:jc w:val="right"/>
            </w:pPr>
          </w:p>
          <w:p w14:paraId="24ACAFF8" w14:textId="77777777" w:rsidR="0077213A" w:rsidRPr="009D759E" w:rsidRDefault="0077213A" w:rsidP="00533DCE">
            <w:pPr>
              <w:jc w:val="right"/>
            </w:pPr>
          </w:p>
          <w:p w14:paraId="0FE77A77" w14:textId="77777777" w:rsidR="0077213A" w:rsidRPr="009D759E" w:rsidRDefault="00377B10" w:rsidP="00533DCE">
            <w:pPr>
              <w:jc w:val="right"/>
            </w:pPr>
            <w:r>
              <w:t>41.830</w:t>
            </w:r>
          </w:p>
          <w:p w14:paraId="3E51D1A4" w14:textId="77777777" w:rsidR="0077213A" w:rsidRPr="009D759E" w:rsidRDefault="0077213A" w:rsidP="00533DCE">
            <w:pPr>
              <w:jc w:val="right"/>
            </w:pPr>
          </w:p>
          <w:p w14:paraId="63E45313" w14:textId="77777777" w:rsidR="0077213A" w:rsidRPr="009D759E" w:rsidRDefault="0018585E" w:rsidP="00533DCE">
            <w:pPr>
              <w:jc w:val="right"/>
            </w:pPr>
            <w:r w:rsidRPr="009D759E">
              <w:t>0</w:t>
            </w:r>
          </w:p>
          <w:p w14:paraId="4953D937" w14:textId="77777777" w:rsidR="0077213A" w:rsidRPr="009D759E" w:rsidRDefault="0077213A" w:rsidP="00533DCE">
            <w:pPr>
              <w:jc w:val="right"/>
            </w:pPr>
          </w:p>
          <w:p w14:paraId="30C1009A" w14:textId="77777777" w:rsidR="0077213A" w:rsidRPr="009D759E" w:rsidRDefault="00243722" w:rsidP="00533DCE">
            <w:pPr>
              <w:jc w:val="right"/>
              <w:rPr>
                <w:b/>
              </w:rPr>
            </w:pPr>
            <w:r w:rsidRPr="009D759E">
              <w:rPr>
                <w:b/>
              </w:rPr>
              <w:t>-</w:t>
            </w:r>
            <w:r w:rsidR="0018585E" w:rsidRPr="009D759E">
              <w:rPr>
                <w:b/>
              </w:rPr>
              <w:t>4</w:t>
            </w:r>
            <w:r w:rsidR="00377B10">
              <w:rPr>
                <w:b/>
              </w:rPr>
              <w:t>1.830</w:t>
            </w:r>
          </w:p>
          <w:p w14:paraId="7740E3D1" w14:textId="77777777" w:rsidR="0077213A" w:rsidRPr="009D759E" w:rsidRDefault="0077213A" w:rsidP="00533DCE">
            <w:pPr>
              <w:jc w:val="right"/>
            </w:pPr>
          </w:p>
        </w:tc>
        <w:tc>
          <w:tcPr>
            <w:tcW w:w="1134" w:type="dxa"/>
          </w:tcPr>
          <w:p w14:paraId="0F70BAE5" w14:textId="77777777" w:rsidR="00133551" w:rsidRPr="009D759E" w:rsidRDefault="00133551" w:rsidP="00533DCE">
            <w:pPr>
              <w:jc w:val="right"/>
            </w:pPr>
          </w:p>
          <w:p w14:paraId="72BEA14E" w14:textId="77777777" w:rsidR="0077213A" w:rsidRPr="009D759E" w:rsidRDefault="0077213A" w:rsidP="00533DCE">
            <w:pPr>
              <w:jc w:val="right"/>
            </w:pPr>
          </w:p>
          <w:p w14:paraId="163F1D6E" w14:textId="77777777" w:rsidR="0077213A" w:rsidRPr="009D759E" w:rsidRDefault="009D759E" w:rsidP="00533DCE">
            <w:pPr>
              <w:jc w:val="right"/>
            </w:pPr>
            <w:r w:rsidRPr="009D759E">
              <w:t>42.</w:t>
            </w:r>
            <w:r w:rsidR="007123C3">
              <w:t>269</w:t>
            </w:r>
          </w:p>
          <w:p w14:paraId="0E58D49D" w14:textId="77777777" w:rsidR="0077213A" w:rsidRPr="009D759E" w:rsidRDefault="0077213A" w:rsidP="00533DCE">
            <w:pPr>
              <w:jc w:val="right"/>
            </w:pPr>
          </w:p>
          <w:p w14:paraId="00E141BD" w14:textId="77777777" w:rsidR="0077213A" w:rsidRPr="009D759E" w:rsidRDefault="009D759E" w:rsidP="00533DCE">
            <w:pPr>
              <w:jc w:val="right"/>
            </w:pPr>
            <w:r w:rsidRPr="009D759E">
              <w:t>0</w:t>
            </w:r>
          </w:p>
          <w:p w14:paraId="5CA393B3" w14:textId="77777777" w:rsidR="0077213A" w:rsidRPr="009D759E" w:rsidRDefault="0077213A" w:rsidP="00533DCE">
            <w:pPr>
              <w:jc w:val="right"/>
            </w:pPr>
          </w:p>
          <w:p w14:paraId="0A662208" w14:textId="77777777" w:rsidR="0077213A" w:rsidRPr="009D759E" w:rsidRDefault="00243722" w:rsidP="009D759E">
            <w:pPr>
              <w:jc w:val="right"/>
              <w:rPr>
                <w:b/>
              </w:rPr>
            </w:pPr>
            <w:r w:rsidRPr="009D759E">
              <w:rPr>
                <w:b/>
              </w:rPr>
              <w:t>-</w:t>
            </w:r>
            <w:r w:rsidR="009D759E" w:rsidRPr="009D759E">
              <w:rPr>
                <w:b/>
              </w:rPr>
              <w:t>42.</w:t>
            </w:r>
            <w:r w:rsidR="007123C3">
              <w:rPr>
                <w:b/>
              </w:rPr>
              <w:t>269</w:t>
            </w:r>
          </w:p>
        </w:tc>
        <w:tc>
          <w:tcPr>
            <w:tcW w:w="1134" w:type="dxa"/>
          </w:tcPr>
          <w:p w14:paraId="0B345058" w14:textId="77777777" w:rsidR="00133551" w:rsidRPr="009D759E" w:rsidRDefault="00133551" w:rsidP="00533DCE">
            <w:pPr>
              <w:jc w:val="right"/>
            </w:pPr>
          </w:p>
          <w:p w14:paraId="70FB05B9" w14:textId="77777777" w:rsidR="0077213A" w:rsidRPr="009D759E" w:rsidRDefault="0077213A" w:rsidP="00533DCE">
            <w:pPr>
              <w:jc w:val="right"/>
            </w:pPr>
          </w:p>
          <w:p w14:paraId="69178E87" w14:textId="77777777" w:rsidR="0077213A" w:rsidRPr="009D759E" w:rsidRDefault="009D759E" w:rsidP="00533DCE">
            <w:pPr>
              <w:jc w:val="right"/>
            </w:pPr>
            <w:r w:rsidRPr="009D759E">
              <w:t>43.</w:t>
            </w:r>
            <w:r w:rsidR="007123C3">
              <w:t>475</w:t>
            </w:r>
          </w:p>
          <w:p w14:paraId="47C3C8DA" w14:textId="77777777" w:rsidR="0077213A" w:rsidRPr="009D759E" w:rsidRDefault="0077213A" w:rsidP="00533DCE">
            <w:pPr>
              <w:jc w:val="right"/>
            </w:pPr>
          </w:p>
          <w:p w14:paraId="3CFD3E0B" w14:textId="77777777" w:rsidR="0077213A" w:rsidRPr="009D759E" w:rsidRDefault="009D759E" w:rsidP="00533DCE">
            <w:pPr>
              <w:jc w:val="right"/>
            </w:pPr>
            <w:r w:rsidRPr="009D759E">
              <w:t>0</w:t>
            </w:r>
          </w:p>
          <w:p w14:paraId="5A420695" w14:textId="77777777" w:rsidR="0077213A" w:rsidRPr="009D759E" w:rsidRDefault="0077213A" w:rsidP="00533DCE">
            <w:pPr>
              <w:jc w:val="right"/>
            </w:pPr>
          </w:p>
          <w:p w14:paraId="3203731F" w14:textId="77777777" w:rsidR="0077213A" w:rsidRPr="009D759E" w:rsidRDefault="00243722" w:rsidP="009D759E">
            <w:pPr>
              <w:jc w:val="right"/>
              <w:rPr>
                <w:b/>
              </w:rPr>
            </w:pPr>
            <w:r w:rsidRPr="009D759E">
              <w:rPr>
                <w:b/>
              </w:rPr>
              <w:t>-</w:t>
            </w:r>
            <w:r w:rsidR="009D759E" w:rsidRPr="009D759E">
              <w:rPr>
                <w:b/>
              </w:rPr>
              <w:t>43.</w:t>
            </w:r>
            <w:r w:rsidR="007123C3">
              <w:rPr>
                <w:b/>
              </w:rPr>
              <w:t>475</w:t>
            </w:r>
          </w:p>
        </w:tc>
        <w:tc>
          <w:tcPr>
            <w:tcW w:w="1134" w:type="dxa"/>
          </w:tcPr>
          <w:p w14:paraId="496442CE" w14:textId="77777777" w:rsidR="00133551" w:rsidRPr="009D759E" w:rsidRDefault="00133551" w:rsidP="00533DCE">
            <w:pPr>
              <w:jc w:val="right"/>
            </w:pPr>
          </w:p>
          <w:p w14:paraId="2663AACF" w14:textId="77777777" w:rsidR="0077213A" w:rsidRPr="009D759E" w:rsidRDefault="0077213A" w:rsidP="00533DCE">
            <w:pPr>
              <w:jc w:val="right"/>
            </w:pPr>
          </w:p>
          <w:p w14:paraId="589C9619" w14:textId="77777777" w:rsidR="0077213A" w:rsidRPr="009D759E" w:rsidRDefault="009D759E" w:rsidP="00533DCE">
            <w:pPr>
              <w:jc w:val="right"/>
            </w:pPr>
            <w:r w:rsidRPr="009D759E">
              <w:t>43.</w:t>
            </w:r>
            <w:r w:rsidR="007123C3">
              <w:t>770</w:t>
            </w:r>
          </w:p>
          <w:p w14:paraId="0A372131" w14:textId="77777777" w:rsidR="0077213A" w:rsidRPr="009D759E" w:rsidRDefault="0077213A" w:rsidP="00533DCE">
            <w:pPr>
              <w:jc w:val="right"/>
            </w:pPr>
          </w:p>
          <w:p w14:paraId="0000FBB1" w14:textId="77777777" w:rsidR="0077213A" w:rsidRPr="009D759E" w:rsidRDefault="009D759E" w:rsidP="00533DCE">
            <w:pPr>
              <w:jc w:val="right"/>
            </w:pPr>
            <w:r w:rsidRPr="009D759E">
              <w:t>0</w:t>
            </w:r>
          </w:p>
          <w:p w14:paraId="40C47331" w14:textId="77777777" w:rsidR="0077213A" w:rsidRPr="009D759E" w:rsidRDefault="0077213A" w:rsidP="00533DCE">
            <w:pPr>
              <w:jc w:val="right"/>
            </w:pPr>
          </w:p>
          <w:p w14:paraId="4B83F9FD" w14:textId="77777777" w:rsidR="0077213A" w:rsidRPr="009D759E" w:rsidRDefault="00243722" w:rsidP="009D759E">
            <w:pPr>
              <w:jc w:val="right"/>
              <w:rPr>
                <w:b/>
              </w:rPr>
            </w:pPr>
            <w:r w:rsidRPr="009D759E">
              <w:rPr>
                <w:b/>
              </w:rPr>
              <w:t>-</w:t>
            </w:r>
            <w:r w:rsidR="009D759E" w:rsidRPr="009D759E">
              <w:rPr>
                <w:b/>
              </w:rPr>
              <w:t>43.</w:t>
            </w:r>
            <w:r w:rsidR="007123C3">
              <w:rPr>
                <w:b/>
              </w:rPr>
              <w:t>770</w:t>
            </w:r>
          </w:p>
        </w:tc>
      </w:tr>
      <w:tr w:rsidR="007123C3" w:rsidRPr="00A556E8" w14:paraId="3002E712" w14:textId="77777777" w:rsidTr="00A24D17">
        <w:tc>
          <w:tcPr>
            <w:tcW w:w="562" w:type="dxa"/>
          </w:tcPr>
          <w:p w14:paraId="086713C0" w14:textId="77777777" w:rsidR="00133551" w:rsidRPr="00A556E8" w:rsidRDefault="003A6601" w:rsidP="00C06070">
            <w:r w:rsidRPr="00A556E8">
              <w:t>4</w:t>
            </w:r>
          </w:p>
        </w:tc>
        <w:tc>
          <w:tcPr>
            <w:tcW w:w="2268" w:type="dxa"/>
          </w:tcPr>
          <w:p w14:paraId="756D6039" w14:textId="77777777" w:rsidR="00133551" w:rsidRPr="00A556E8" w:rsidRDefault="003A6601" w:rsidP="00877624">
            <w:pPr>
              <w:ind w:left="0" w:firstLine="0"/>
            </w:pPr>
            <w:r w:rsidRPr="00A556E8">
              <w:t xml:space="preserve">Identifies the impact and trend that the revenue costs of </w:t>
            </w:r>
            <w:r w:rsidR="005B5E63">
              <w:t>Capital</w:t>
            </w:r>
            <w:r w:rsidRPr="00A556E8">
              <w:t xml:space="preserve"> financing decisions will have on the General Fund budget over time</w:t>
            </w:r>
          </w:p>
        </w:tc>
        <w:tc>
          <w:tcPr>
            <w:tcW w:w="1842" w:type="dxa"/>
          </w:tcPr>
          <w:p w14:paraId="001162BF" w14:textId="77777777" w:rsidR="00133551" w:rsidRPr="00A556E8" w:rsidRDefault="003A6601" w:rsidP="00877624">
            <w:pPr>
              <w:ind w:left="0" w:firstLine="0"/>
              <w:rPr>
                <w:b/>
              </w:rPr>
            </w:pPr>
            <w:r w:rsidRPr="00A556E8">
              <w:rPr>
                <w:b/>
              </w:rPr>
              <w:t>Ratio of financing cost to net revenue stream</w:t>
            </w:r>
            <w:r w:rsidR="0009346C">
              <w:rPr>
                <w:b/>
              </w:rPr>
              <w:t>**</w:t>
            </w:r>
          </w:p>
        </w:tc>
        <w:tc>
          <w:tcPr>
            <w:tcW w:w="1134" w:type="dxa"/>
          </w:tcPr>
          <w:p w14:paraId="3605EC90" w14:textId="77777777" w:rsidR="00133551" w:rsidRPr="009D759E" w:rsidRDefault="00133551" w:rsidP="00533DCE">
            <w:pPr>
              <w:jc w:val="right"/>
            </w:pPr>
          </w:p>
          <w:p w14:paraId="1C512C7A" w14:textId="77777777" w:rsidR="0077213A" w:rsidRPr="009D759E" w:rsidRDefault="0018585E" w:rsidP="001B2695">
            <w:pPr>
              <w:jc w:val="right"/>
            </w:pPr>
            <w:r w:rsidRPr="009D759E">
              <w:t>1</w:t>
            </w:r>
            <w:r w:rsidR="007123C3">
              <w:t>8.19</w:t>
            </w:r>
            <w:r w:rsidR="0077213A" w:rsidRPr="009D759E">
              <w:t>%</w:t>
            </w:r>
          </w:p>
        </w:tc>
        <w:tc>
          <w:tcPr>
            <w:tcW w:w="1134" w:type="dxa"/>
          </w:tcPr>
          <w:p w14:paraId="71241577" w14:textId="77777777" w:rsidR="00133551" w:rsidRPr="009D759E" w:rsidRDefault="00133551" w:rsidP="00533DCE">
            <w:pPr>
              <w:jc w:val="right"/>
            </w:pPr>
          </w:p>
          <w:p w14:paraId="10586B92" w14:textId="77777777" w:rsidR="0077213A" w:rsidRPr="009D759E" w:rsidRDefault="009D759E" w:rsidP="00145267">
            <w:pPr>
              <w:jc w:val="right"/>
            </w:pPr>
            <w:r w:rsidRPr="009D759E">
              <w:t>18.1</w:t>
            </w:r>
            <w:r w:rsidR="007123C3">
              <w:t>6</w:t>
            </w:r>
            <w:r w:rsidR="0077213A" w:rsidRPr="009D759E">
              <w:t>%</w:t>
            </w:r>
          </w:p>
        </w:tc>
        <w:tc>
          <w:tcPr>
            <w:tcW w:w="1134" w:type="dxa"/>
          </w:tcPr>
          <w:p w14:paraId="2B2384E6" w14:textId="77777777" w:rsidR="00133551" w:rsidRPr="009D759E" w:rsidRDefault="00133551" w:rsidP="00533DCE">
            <w:pPr>
              <w:jc w:val="right"/>
            </w:pPr>
          </w:p>
          <w:p w14:paraId="0CAE42A0" w14:textId="77777777" w:rsidR="0077213A" w:rsidRPr="009D759E" w:rsidRDefault="009D759E" w:rsidP="00CE1851">
            <w:pPr>
              <w:jc w:val="right"/>
            </w:pPr>
            <w:r w:rsidRPr="009D759E">
              <w:t>17.</w:t>
            </w:r>
            <w:r w:rsidR="007123C3">
              <w:t>23</w:t>
            </w:r>
            <w:r w:rsidR="0077213A" w:rsidRPr="009D759E">
              <w:t>%</w:t>
            </w:r>
          </w:p>
        </w:tc>
        <w:tc>
          <w:tcPr>
            <w:tcW w:w="1134" w:type="dxa"/>
          </w:tcPr>
          <w:p w14:paraId="143EAA27" w14:textId="77777777" w:rsidR="00133551" w:rsidRPr="009D759E" w:rsidRDefault="00133551" w:rsidP="00533DCE">
            <w:pPr>
              <w:jc w:val="right"/>
            </w:pPr>
          </w:p>
          <w:p w14:paraId="43124C38" w14:textId="77777777" w:rsidR="0077213A" w:rsidRPr="009D759E" w:rsidRDefault="009D759E" w:rsidP="00243722">
            <w:pPr>
              <w:jc w:val="right"/>
            </w:pPr>
            <w:r w:rsidRPr="009D759E">
              <w:t>1</w:t>
            </w:r>
            <w:r w:rsidR="007123C3">
              <w:t>6.90</w:t>
            </w:r>
            <w:r w:rsidR="0077213A" w:rsidRPr="009D759E">
              <w:t>%</w:t>
            </w:r>
          </w:p>
        </w:tc>
      </w:tr>
      <w:tr w:rsidR="007123C3" w:rsidRPr="00A556E8" w14:paraId="3B7B6D67" w14:textId="77777777" w:rsidTr="00A24D17">
        <w:tc>
          <w:tcPr>
            <w:tcW w:w="562" w:type="dxa"/>
          </w:tcPr>
          <w:p w14:paraId="7A677880" w14:textId="77777777" w:rsidR="00133551" w:rsidRPr="00A556E8" w:rsidRDefault="003A6601" w:rsidP="00C06070">
            <w:r w:rsidRPr="00A556E8">
              <w:t>5</w:t>
            </w:r>
          </w:p>
        </w:tc>
        <w:tc>
          <w:tcPr>
            <w:tcW w:w="2268" w:type="dxa"/>
          </w:tcPr>
          <w:p w14:paraId="6E86B3F8" w14:textId="77777777" w:rsidR="00133551" w:rsidRPr="00A556E8" w:rsidRDefault="003A6601" w:rsidP="00877624">
            <w:pPr>
              <w:ind w:left="0" w:firstLine="0"/>
            </w:pPr>
            <w:r w:rsidRPr="00A556E8">
              <w:t xml:space="preserve">The Authority’s budget strategy has been to support </w:t>
            </w:r>
            <w:r w:rsidR="005B5E63">
              <w:t>Capital</w:t>
            </w:r>
            <w:r w:rsidRPr="00A556E8">
              <w:t xml:space="preserve"> spending from reserves set aside, in future to fund the </w:t>
            </w:r>
            <w:r w:rsidR="005B5E63">
              <w:t>Capital</w:t>
            </w:r>
            <w:r w:rsidRPr="00A556E8">
              <w:t xml:space="preserve"> programme additional borrowing is likely to be required</w:t>
            </w:r>
          </w:p>
        </w:tc>
        <w:tc>
          <w:tcPr>
            <w:tcW w:w="1842" w:type="dxa"/>
          </w:tcPr>
          <w:p w14:paraId="40B31978" w14:textId="77777777" w:rsidR="00133551" w:rsidRPr="00A556E8" w:rsidRDefault="003A6601" w:rsidP="00877624">
            <w:pPr>
              <w:ind w:left="0" w:firstLine="0"/>
              <w:rPr>
                <w:b/>
              </w:rPr>
            </w:pPr>
            <w:r w:rsidRPr="00A556E8">
              <w:rPr>
                <w:b/>
              </w:rPr>
              <w:t xml:space="preserve">Incremental impact of </w:t>
            </w:r>
            <w:r w:rsidR="005B5E63">
              <w:rPr>
                <w:b/>
              </w:rPr>
              <w:t>Capital</w:t>
            </w:r>
            <w:r w:rsidRPr="00A556E8">
              <w:rPr>
                <w:b/>
              </w:rPr>
              <w:t xml:space="preserve"> investment decisions (increase in Levy %)</w:t>
            </w:r>
          </w:p>
        </w:tc>
        <w:tc>
          <w:tcPr>
            <w:tcW w:w="1134" w:type="dxa"/>
          </w:tcPr>
          <w:p w14:paraId="31E4EB7C" w14:textId="77777777" w:rsidR="00533DCE" w:rsidRPr="009D759E" w:rsidRDefault="00533DCE" w:rsidP="00533DCE">
            <w:pPr>
              <w:jc w:val="right"/>
            </w:pPr>
          </w:p>
          <w:p w14:paraId="362AB430" w14:textId="77777777" w:rsidR="00133551" w:rsidRPr="009D759E" w:rsidRDefault="007123C3" w:rsidP="00533DCE">
            <w:pPr>
              <w:jc w:val="right"/>
            </w:pPr>
            <w:r>
              <w:t>0.0031</w:t>
            </w:r>
            <w:r w:rsidR="00243722" w:rsidRPr="009D759E">
              <w:t>%</w:t>
            </w:r>
          </w:p>
        </w:tc>
        <w:tc>
          <w:tcPr>
            <w:tcW w:w="1134" w:type="dxa"/>
          </w:tcPr>
          <w:p w14:paraId="1F4F5B7F" w14:textId="77777777" w:rsidR="00533DCE" w:rsidRPr="009D759E" w:rsidRDefault="00533DCE" w:rsidP="00533DCE">
            <w:pPr>
              <w:jc w:val="right"/>
            </w:pPr>
          </w:p>
          <w:p w14:paraId="4275EA9B" w14:textId="77777777" w:rsidR="00133551" w:rsidRPr="009D759E" w:rsidRDefault="007123C3" w:rsidP="00533DCE">
            <w:pPr>
              <w:jc w:val="right"/>
            </w:pPr>
            <w:r>
              <w:t>0.0155</w:t>
            </w:r>
            <w:r w:rsidR="0018585E" w:rsidRPr="009D759E">
              <w:t>%</w:t>
            </w:r>
          </w:p>
        </w:tc>
        <w:tc>
          <w:tcPr>
            <w:tcW w:w="1134" w:type="dxa"/>
          </w:tcPr>
          <w:p w14:paraId="40B6237C" w14:textId="77777777" w:rsidR="00533DCE" w:rsidRPr="009D759E" w:rsidRDefault="00533DCE" w:rsidP="00533DCE">
            <w:pPr>
              <w:jc w:val="right"/>
            </w:pPr>
          </w:p>
          <w:p w14:paraId="267C2A75" w14:textId="77777777" w:rsidR="00133551" w:rsidRPr="009D759E" w:rsidRDefault="007123C3" w:rsidP="00533DCE">
            <w:pPr>
              <w:jc w:val="right"/>
            </w:pPr>
            <w:r>
              <w:t>0.0036</w:t>
            </w:r>
            <w:r w:rsidR="0018585E" w:rsidRPr="009D759E">
              <w:t>%</w:t>
            </w:r>
          </w:p>
        </w:tc>
        <w:tc>
          <w:tcPr>
            <w:tcW w:w="1134" w:type="dxa"/>
          </w:tcPr>
          <w:p w14:paraId="04759F40" w14:textId="77777777" w:rsidR="00533DCE" w:rsidRPr="009D759E" w:rsidRDefault="00533DCE" w:rsidP="00533DCE">
            <w:pPr>
              <w:jc w:val="right"/>
            </w:pPr>
          </w:p>
          <w:p w14:paraId="2F6B1E70" w14:textId="77777777" w:rsidR="00133551" w:rsidRPr="009D759E" w:rsidRDefault="007123C3" w:rsidP="00533DCE">
            <w:pPr>
              <w:jc w:val="right"/>
            </w:pPr>
            <w:r>
              <w:t>0.0035</w:t>
            </w:r>
            <w:r w:rsidR="0018585E" w:rsidRPr="009D759E">
              <w:t>%</w:t>
            </w:r>
          </w:p>
        </w:tc>
      </w:tr>
      <w:tr w:rsidR="007123C3" w:rsidRPr="00A556E8" w14:paraId="734126FC" w14:textId="77777777" w:rsidTr="00A24D17">
        <w:tc>
          <w:tcPr>
            <w:tcW w:w="562" w:type="dxa"/>
          </w:tcPr>
          <w:p w14:paraId="0920E389" w14:textId="77777777" w:rsidR="00133551" w:rsidRPr="00A556E8" w:rsidRDefault="003A6601" w:rsidP="00C06070">
            <w:r w:rsidRPr="00A556E8">
              <w:t>6</w:t>
            </w:r>
          </w:p>
        </w:tc>
        <w:tc>
          <w:tcPr>
            <w:tcW w:w="2268" w:type="dxa"/>
          </w:tcPr>
          <w:p w14:paraId="4DC5AD73" w14:textId="77777777" w:rsidR="00133551" w:rsidRDefault="003A6601" w:rsidP="00877624">
            <w:pPr>
              <w:ind w:left="0" w:firstLine="0"/>
            </w:pPr>
            <w:r w:rsidRPr="00A556E8">
              <w:t xml:space="preserve">This represents an absolute limit on borrowing at any one point in time. It reflects the level of external debt which, while not desired, </w:t>
            </w:r>
            <w:r w:rsidRPr="00A556E8">
              <w:lastRenderedPageBreak/>
              <w:t>could be afforded in the short term but which is not sustainable in the longer term</w:t>
            </w:r>
          </w:p>
          <w:p w14:paraId="339BF4D6" w14:textId="77777777" w:rsidR="00C233E9" w:rsidRPr="00A556E8" w:rsidRDefault="00C233E9" w:rsidP="00877624">
            <w:pPr>
              <w:ind w:left="0" w:firstLine="0"/>
            </w:pPr>
            <w:r>
              <w:t xml:space="preserve">It includes the estimated external limit boundary for other </w:t>
            </w:r>
            <w:proofErr w:type="gramStart"/>
            <w:r>
              <w:t>long term</w:t>
            </w:r>
            <w:proofErr w:type="gramEnd"/>
            <w:r>
              <w:t xml:space="preserve"> liabilities – effectively including the RRC liabilities.</w:t>
            </w:r>
          </w:p>
        </w:tc>
        <w:tc>
          <w:tcPr>
            <w:tcW w:w="1842" w:type="dxa"/>
          </w:tcPr>
          <w:p w14:paraId="010C8A57" w14:textId="77777777" w:rsidR="00133551" w:rsidRPr="00A556E8" w:rsidRDefault="003A6601" w:rsidP="00877624">
            <w:pPr>
              <w:ind w:left="0" w:firstLine="0"/>
              <w:rPr>
                <w:b/>
              </w:rPr>
            </w:pPr>
            <w:r w:rsidRPr="00A556E8">
              <w:rPr>
                <w:b/>
              </w:rPr>
              <w:lastRenderedPageBreak/>
              <w:t>Authorised limit for External Debt (£</w:t>
            </w:r>
            <w:proofErr w:type="gramStart"/>
            <w:r w:rsidRPr="00A556E8">
              <w:rPr>
                <w:b/>
              </w:rPr>
              <w:t>M)</w:t>
            </w:r>
            <w:r w:rsidR="00425F72">
              <w:rPr>
                <w:b/>
              </w:rPr>
              <w:t>*</w:t>
            </w:r>
            <w:proofErr w:type="gramEnd"/>
          </w:p>
        </w:tc>
        <w:tc>
          <w:tcPr>
            <w:tcW w:w="1134" w:type="dxa"/>
          </w:tcPr>
          <w:p w14:paraId="5923E1DA" w14:textId="77777777" w:rsidR="00533DCE" w:rsidRPr="009D759E" w:rsidRDefault="00533DCE" w:rsidP="00533DCE">
            <w:pPr>
              <w:jc w:val="right"/>
            </w:pPr>
          </w:p>
          <w:p w14:paraId="509C5584" w14:textId="77777777" w:rsidR="00133551" w:rsidRPr="009D759E" w:rsidRDefault="0018585E" w:rsidP="001B2695">
            <w:pPr>
              <w:jc w:val="right"/>
            </w:pPr>
            <w:r w:rsidRPr="009D759E">
              <w:t>3</w:t>
            </w:r>
            <w:r w:rsidR="007123C3">
              <w:t>01.489</w:t>
            </w:r>
          </w:p>
        </w:tc>
        <w:tc>
          <w:tcPr>
            <w:tcW w:w="1134" w:type="dxa"/>
          </w:tcPr>
          <w:p w14:paraId="18898EC9" w14:textId="77777777" w:rsidR="00533DCE" w:rsidRPr="009D759E" w:rsidRDefault="00533DCE" w:rsidP="00533DCE">
            <w:pPr>
              <w:jc w:val="right"/>
            </w:pPr>
          </w:p>
          <w:p w14:paraId="703762B9" w14:textId="77777777" w:rsidR="00133551" w:rsidRPr="009D759E" w:rsidRDefault="007123C3" w:rsidP="001B2695">
            <w:pPr>
              <w:jc w:val="right"/>
            </w:pPr>
            <w:r>
              <w:t>290.574</w:t>
            </w:r>
          </w:p>
        </w:tc>
        <w:tc>
          <w:tcPr>
            <w:tcW w:w="1134" w:type="dxa"/>
          </w:tcPr>
          <w:p w14:paraId="17D34BC5" w14:textId="77777777" w:rsidR="00533DCE" w:rsidRPr="009D759E" w:rsidRDefault="00533DCE" w:rsidP="00533DCE">
            <w:pPr>
              <w:jc w:val="right"/>
            </w:pPr>
          </w:p>
          <w:p w14:paraId="200E8216" w14:textId="77777777" w:rsidR="00133551" w:rsidRPr="009D759E" w:rsidRDefault="009D759E" w:rsidP="001B2695">
            <w:pPr>
              <w:jc w:val="right"/>
            </w:pPr>
            <w:r w:rsidRPr="009D759E">
              <w:t>2</w:t>
            </w:r>
            <w:r w:rsidR="007123C3">
              <w:t>79.515</w:t>
            </w:r>
          </w:p>
        </w:tc>
        <w:tc>
          <w:tcPr>
            <w:tcW w:w="1134" w:type="dxa"/>
          </w:tcPr>
          <w:p w14:paraId="67A13E56" w14:textId="77777777" w:rsidR="00533DCE" w:rsidRPr="009D759E" w:rsidRDefault="00533DCE" w:rsidP="00533DCE">
            <w:pPr>
              <w:jc w:val="right"/>
            </w:pPr>
          </w:p>
          <w:p w14:paraId="2FE159DC" w14:textId="77777777" w:rsidR="00133551" w:rsidRPr="009D759E" w:rsidRDefault="009D759E" w:rsidP="005E1435">
            <w:pPr>
              <w:jc w:val="right"/>
            </w:pPr>
            <w:r w:rsidRPr="009D759E">
              <w:t>279.</w:t>
            </w:r>
            <w:r w:rsidR="007123C3">
              <w:t>676</w:t>
            </w:r>
          </w:p>
        </w:tc>
      </w:tr>
      <w:tr w:rsidR="007123C3" w:rsidRPr="00A556E8" w14:paraId="54C6DB0F" w14:textId="77777777" w:rsidTr="00A24D17">
        <w:tc>
          <w:tcPr>
            <w:tcW w:w="562" w:type="dxa"/>
          </w:tcPr>
          <w:p w14:paraId="25817820" w14:textId="77777777" w:rsidR="003A6601" w:rsidRPr="00A556E8" w:rsidRDefault="003A6601" w:rsidP="00C06070">
            <w:r w:rsidRPr="00A556E8">
              <w:t>7</w:t>
            </w:r>
          </w:p>
        </w:tc>
        <w:tc>
          <w:tcPr>
            <w:tcW w:w="2268" w:type="dxa"/>
          </w:tcPr>
          <w:p w14:paraId="72EA30B9" w14:textId="77777777" w:rsidR="003A6601" w:rsidRPr="00A556E8" w:rsidRDefault="003A6601" w:rsidP="00877624">
            <w:pPr>
              <w:ind w:left="0" w:firstLine="0"/>
            </w:pPr>
            <w:r w:rsidRPr="00A556E8">
              <w:t>This is the limit beyond which external</w:t>
            </w:r>
            <w:r w:rsidR="00A24D17" w:rsidRPr="00A556E8">
              <w:t xml:space="preserve"> debt is not normally expected to exceed</w:t>
            </w:r>
            <w:r w:rsidR="00C233E9">
              <w:t xml:space="preserve">. It includes the estimated external limit boundary for other </w:t>
            </w:r>
            <w:proofErr w:type="gramStart"/>
            <w:r w:rsidR="00C233E9">
              <w:t>long term</w:t>
            </w:r>
            <w:proofErr w:type="gramEnd"/>
            <w:r w:rsidR="00C233E9">
              <w:t xml:space="preserve"> liabilities – effectively including the RRC liabilities.</w:t>
            </w:r>
          </w:p>
        </w:tc>
        <w:tc>
          <w:tcPr>
            <w:tcW w:w="1842" w:type="dxa"/>
          </w:tcPr>
          <w:p w14:paraId="1D5C25E4" w14:textId="77777777" w:rsidR="003A6601" w:rsidRPr="00A556E8" w:rsidRDefault="00A24D17" w:rsidP="00877624">
            <w:pPr>
              <w:ind w:left="0" w:firstLine="0"/>
              <w:rPr>
                <w:b/>
              </w:rPr>
            </w:pPr>
            <w:r w:rsidRPr="00A556E8">
              <w:rPr>
                <w:b/>
              </w:rPr>
              <w:t>Operational Limit for External Debt (£</w:t>
            </w:r>
            <w:proofErr w:type="gramStart"/>
            <w:r w:rsidRPr="00A556E8">
              <w:rPr>
                <w:b/>
              </w:rPr>
              <w:t>M)</w:t>
            </w:r>
            <w:r w:rsidR="00425F72">
              <w:rPr>
                <w:b/>
              </w:rPr>
              <w:t>*</w:t>
            </w:r>
            <w:proofErr w:type="gramEnd"/>
          </w:p>
        </w:tc>
        <w:tc>
          <w:tcPr>
            <w:tcW w:w="1134" w:type="dxa"/>
          </w:tcPr>
          <w:p w14:paraId="732658E4" w14:textId="77777777" w:rsidR="00533DCE" w:rsidRPr="009D759E" w:rsidRDefault="00533DCE" w:rsidP="00533DCE">
            <w:pPr>
              <w:jc w:val="right"/>
            </w:pPr>
          </w:p>
          <w:p w14:paraId="212D2475" w14:textId="77777777" w:rsidR="003A6601" w:rsidRPr="009D759E" w:rsidRDefault="007123C3" w:rsidP="001B2695">
            <w:pPr>
              <w:jc w:val="right"/>
            </w:pPr>
            <w:r>
              <w:t>297.551</w:t>
            </w:r>
          </w:p>
        </w:tc>
        <w:tc>
          <w:tcPr>
            <w:tcW w:w="1134" w:type="dxa"/>
          </w:tcPr>
          <w:p w14:paraId="5BDC5945" w14:textId="77777777" w:rsidR="00533DCE" w:rsidRPr="009D759E" w:rsidRDefault="00533DCE" w:rsidP="00533DCE">
            <w:pPr>
              <w:jc w:val="right"/>
            </w:pPr>
          </w:p>
          <w:p w14:paraId="2F5991D2" w14:textId="77777777" w:rsidR="003A6601" w:rsidRPr="009D759E" w:rsidRDefault="009D759E" w:rsidP="00597DA0">
            <w:pPr>
              <w:jc w:val="right"/>
            </w:pPr>
            <w:r w:rsidRPr="009D759E">
              <w:t>2</w:t>
            </w:r>
            <w:r w:rsidR="007123C3">
              <w:t>86.633</w:t>
            </w:r>
          </w:p>
        </w:tc>
        <w:tc>
          <w:tcPr>
            <w:tcW w:w="1134" w:type="dxa"/>
          </w:tcPr>
          <w:p w14:paraId="1A3BF265" w14:textId="77777777" w:rsidR="00533DCE" w:rsidRPr="009D759E" w:rsidRDefault="00533DCE" w:rsidP="00533DCE">
            <w:pPr>
              <w:jc w:val="right"/>
            </w:pPr>
          </w:p>
          <w:p w14:paraId="08CEBCA6" w14:textId="77777777" w:rsidR="003A6601" w:rsidRPr="009D759E" w:rsidRDefault="009D759E" w:rsidP="008817B2">
            <w:pPr>
              <w:jc w:val="right"/>
            </w:pPr>
            <w:r w:rsidRPr="009D759E">
              <w:t>2</w:t>
            </w:r>
            <w:r w:rsidR="007123C3">
              <w:t>75.470</w:t>
            </w:r>
          </w:p>
        </w:tc>
        <w:tc>
          <w:tcPr>
            <w:tcW w:w="1134" w:type="dxa"/>
          </w:tcPr>
          <w:p w14:paraId="7E27E95E" w14:textId="77777777" w:rsidR="00533DCE" w:rsidRPr="009D759E" w:rsidRDefault="00533DCE" w:rsidP="00533DCE">
            <w:pPr>
              <w:jc w:val="right"/>
            </w:pPr>
          </w:p>
          <w:p w14:paraId="5C30BCC6" w14:textId="77777777" w:rsidR="003A6601" w:rsidRPr="009D759E" w:rsidRDefault="009D759E" w:rsidP="00A556E8">
            <w:pPr>
              <w:jc w:val="right"/>
            </w:pPr>
            <w:r w:rsidRPr="009D759E">
              <w:t>275.</w:t>
            </w:r>
            <w:r w:rsidR="007123C3">
              <w:t>590</w:t>
            </w:r>
          </w:p>
        </w:tc>
      </w:tr>
      <w:tr w:rsidR="007123C3" w:rsidRPr="00A556E8" w14:paraId="27D36752" w14:textId="77777777" w:rsidTr="00A24D17">
        <w:tc>
          <w:tcPr>
            <w:tcW w:w="562" w:type="dxa"/>
            <w:vMerge w:val="restart"/>
          </w:tcPr>
          <w:p w14:paraId="6BCEB433" w14:textId="77777777" w:rsidR="00A24D17" w:rsidRPr="00A556E8" w:rsidRDefault="00A24D17" w:rsidP="00C06070">
            <w:r w:rsidRPr="00A556E8">
              <w:t>8</w:t>
            </w:r>
          </w:p>
        </w:tc>
        <w:tc>
          <w:tcPr>
            <w:tcW w:w="2268" w:type="dxa"/>
            <w:vMerge w:val="restart"/>
          </w:tcPr>
          <w:p w14:paraId="73E3FBFD" w14:textId="77777777" w:rsidR="00A24D17" w:rsidRPr="00A556E8" w:rsidRDefault="00A24D17" w:rsidP="00877624">
            <w:pPr>
              <w:ind w:left="0" w:firstLine="0"/>
            </w:pPr>
            <w:r w:rsidRPr="00A556E8">
              <w:t xml:space="preserve">These limits seek to ensure that the authority does not expose itself to an inappropriate level of </w:t>
            </w:r>
            <w:r w:rsidRPr="00A556E8">
              <w:lastRenderedPageBreak/>
              <w:t>interest rate risk, and has a suitable proportion of debt</w:t>
            </w:r>
          </w:p>
        </w:tc>
        <w:tc>
          <w:tcPr>
            <w:tcW w:w="1842" w:type="dxa"/>
          </w:tcPr>
          <w:p w14:paraId="0C4715AB" w14:textId="77777777" w:rsidR="00A24D17" w:rsidRPr="00A556E8" w:rsidRDefault="00A24D17" w:rsidP="00877624">
            <w:pPr>
              <w:ind w:left="0" w:firstLine="0"/>
              <w:rPr>
                <w:b/>
              </w:rPr>
            </w:pPr>
            <w:r w:rsidRPr="00A556E8">
              <w:rPr>
                <w:b/>
              </w:rPr>
              <w:lastRenderedPageBreak/>
              <w:t>Upper limit for Fixed Interest Rate Exposure</w:t>
            </w:r>
          </w:p>
          <w:p w14:paraId="1E17053C" w14:textId="77777777" w:rsidR="00A24D17" w:rsidRPr="00A556E8" w:rsidRDefault="00A24D17" w:rsidP="00877624">
            <w:pPr>
              <w:ind w:left="0" w:firstLine="0"/>
              <w:rPr>
                <w:b/>
              </w:rPr>
            </w:pPr>
          </w:p>
        </w:tc>
        <w:tc>
          <w:tcPr>
            <w:tcW w:w="1134" w:type="dxa"/>
          </w:tcPr>
          <w:p w14:paraId="7430868A" w14:textId="77777777" w:rsidR="00533DCE" w:rsidRPr="009D759E" w:rsidRDefault="00533DCE" w:rsidP="00533DCE">
            <w:pPr>
              <w:jc w:val="right"/>
            </w:pPr>
          </w:p>
          <w:p w14:paraId="04A661BC" w14:textId="77777777" w:rsidR="00A24D17" w:rsidRPr="009D759E" w:rsidRDefault="00A24D17" w:rsidP="00533DCE">
            <w:pPr>
              <w:jc w:val="right"/>
            </w:pPr>
            <w:r w:rsidRPr="009D759E">
              <w:t>100%</w:t>
            </w:r>
          </w:p>
        </w:tc>
        <w:tc>
          <w:tcPr>
            <w:tcW w:w="1134" w:type="dxa"/>
          </w:tcPr>
          <w:p w14:paraId="7E0017AD" w14:textId="77777777" w:rsidR="00533DCE" w:rsidRPr="009D759E" w:rsidRDefault="00533DCE" w:rsidP="00533DCE">
            <w:pPr>
              <w:jc w:val="right"/>
            </w:pPr>
          </w:p>
          <w:p w14:paraId="64993265" w14:textId="77777777" w:rsidR="00A24D17" w:rsidRPr="009D759E" w:rsidRDefault="00A24D17" w:rsidP="00533DCE">
            <w:pPr>
              <w:jc w:val="right"/>
            </w:pPr>
            <w:r w:rsidRPr="009D759E">
              <w:t>100%</w:t>
            </w:r>
          </w:p>
        </w:tc>
        <w:tc>
          <w:tcPr>
            <w:tcW w:w="1134" w:type="dxa"/>
          </w:tcPr>
          <w:p w14:paraId="642F31EB" w14:textId="77777777" w:rsidR="00533DCE" w:rsidRPr="009D759E" w:rsidRDefault="00533DCE" w:rsidP="00533DCE">
            <w:pPr>
              <w:jc w:val="right"/>
            </w:pPr>
          </w:p>
          <w:p w14:paraId="019AED6D" w14:textId="77777777" w:rsidR="00A24D17" w:rsidRPr="009D759E" w:rsidRDefault="00A24D17" w:rsidP="00533DCE">
            <w:pPr>
              <w:jc w:val="right"/>
            </w:pPr>
            <w:r w:rsidRPr="009D759E">
              <w:t>100%</w:t>
            </w:r>
          </w:p>
        </w:tc>
        <w:tc>
          <w:tcPr>
            <w:tcW w:w="1134" w:type="dxa"/>
          </w:tcPr>
          <w:p w14:paraId="2F93150A" w14:textId="77777777" w:rsidR="00533DCE" w:rsidRPr="009D759E" w:rsidRDefault="00533DCE" w:rsidP="00533DCE">
            <w:pPr>
              <w:jc w:val="right"/>
            </w:pPr>
          </w:p>
          <w:p w14:paraId="389ADB14" w14:textId="77777777" w:rsidR="00A24D17" w:rsidRPr="009D759E" w:rsidRDefault="00A24D17" w:rsidP="00533DCE">
            <w:pPr>
              <w:jc w:val="right"/>
            </w:pPr>
            <w:r w:rsidRPr="009D759E">
              <w:t>100%</w:t>
            </w:r>
          </w:p>
        </w:tc>
      </w:tr>
      <w:tr w:rsidR="007123C3" w:rsidRPr="00A556E8" w14:paraId="3EBD9890" w14:textId="77777777" w:rsidTr="00A24D17">
        <w:tc>
          <w:tcPr>
            <w:tcW w:w="562" w:type="dxa"/>
            <w:vMerge/>
          </w:tcPr>
          <w:p w14:paraId="742F76DF" w14:textId="77777777" w:rsidR="00A24D17" w:rsidRPr="00A556E8" w:rsidRDefault="00A24D17" w:rsidP="00C06070"/>
        </w:tc>
        <w:tc>
          <w:tcPr>
            <w:tcW w:w="2268" w:type="dxa"/>
            <w:vMerge/>
          </w:tcPr>
          <w:p w14:paraId="5BF05128" w14:textId="77777777" w:rsidR="00A24D17" w:rsidRPr="00A556E8" w:rsidRDefault="00A24D17" w:rsidP="00877624">
            <w:pPr>
              <w:ind w:left="0" w:firstLine="0"/>
            </w:pPr>
          </w:p>
        </w:tc>
        <w:tc>
          <w:tcPr>
            <w:tcW w:w="1842" w:type="dxa"/>
          </w:tcPr>
          <w:p w14:paraId="2D664705" w14:textId="77777777" w:rsidR="00A24D17" w:rsidRPr="00A556E8" w:rsidRDefault="00A24D17" w:rsidP="00877624">
            <w:pPr>
              <w:ind w:left="0" w:firstLine="0"/>
              <w:rPr>
                <w:b/>
              </w:rPr>
            </w:pPr>
            <w:r w:rsidRPr="00A556E8">
              <w:rPr>
                <w:b/>
              </w:rPr>
              <w:t xml:space="preserve">Upper limit for Variable Interest </w:t>
            </w:r>
            <w:r w:rsidRPr="00A556E8">
              <w:rPr>
                <w:b/>
              </w:rPr>
              <w:lastRenderedPageBreak/>
              <w:t>Rate Exposure</w:t>
            </w:r>
          </w:p>
        </w:tc>
        <w:tc>
          <w:tcPr>
            <w:tcW w:w="1134" w:type="dxa"/>
          </w:tcPr>
          <w:p w14:paraId="47BF5C57" w14:textId="77777777" w:rsidR="00533DCE" w:rsidRPr="009D759E" w:rsidRDefault="00533DCE" w:rsidP="00533DCE">
            <w:pPr>
              <w:jc w:val="right"/>
            </w:pPr>
          </w:p>
          <w:p w14:paraId="13464110" w14:textId="77777777" w:rsidR="00A24D17" w:rsidRPr="009D759E" w:rsidRDefault="00A24D17" w:rsidP="00533DCE">
            <w:pPr>
              <w:jc w:val="right"/>
            </w:pPr>
            <w:r w:rsidRPr="009D759E">
              <w:t>50%</w:t>
            </w:r>
          </w:p>
        </w:tc>
        <w:tc>
          <w:tcPr>
            <w:tcW w:w="1134" w:type="dxa"/>
          </w:tcPr>
          <w:p w14:paraId="093AB2EC" w14:textId="77777777" w:rsidR="00533DCE" w:rsidRPr="009D759E" w:rsidRDefault="00533DCE" w:rsidP="00533DCE">
            <w:pPr>
              <w:jc w:val="right"/>
            </w:pPr>
          </w:p>
          <w:p w14:paraId="2BEEAC60" w14:textId="77777777" w:rsidR="00A24D17" w:rsidRPr="009D759E" w:rsidRDefault="00A24D17" w:rsidP="00533DCE">
            <w:pPr>
              <w:jc w:val="right"/>
            </w:pPr>
            <w:r w:rsidRPr="009D759E">
              <w:t>50%</w:t>
            </w:r>
          </w:p>
        </w:tc>
        <w:tc>
          <w:tcPr>
            <w:tcW w:w="1134" w:type="dxa"/>
          </w:tcPr>
          <w:p w14:paraId="7E57B1E4" w14:textId="77777777" w:rsidR="00533DCE" w:rsidRPr="009D759E" w:rsidRDefault="00533DCE" w:rsidP="00533DCE">
            <w:pPr>
              <w:jc w:val="right"/>
            </w:pPr>
          </w:p>
          <w:p w14:paraId="055081ED" w14:textId="77777777" w:rsidR="00A24D17" w:rsidRPr="009D759E" w:rsidRDefault="00A24D17" w:rsidP="00533DCE">
            <w:pPr>
              <w:jc w:val="right"/>
            </w:pPr>
            <w:r w:rsidRPr="009D759E">
              <w:t>50%</w:t>
            </w:r>
          </w:p>
        </w:tc>
        <w:tc>
          <w:tcPr>
            <w:tcW w:w="1134" w:type="dxa"/>
          </w:tcPr>
          <w:p w14:paraId="7C950B94" w14:textId="77777777" w:rsidR="00533DCE" w:rsidRPr="009D759E" w:rsidRDefault="00533DCE" w:rsidP="00533DCE">
            <w:pPr>
              <w:jc w:val="right"/>
            </w:pPr>
          </w:p>
          <w:p w14:paraId="7CEA2C97" w14:textId="77777777" w:rsidR="00A24D17" w:rsidRPr="009D759E" w:rsidRDefault="00A24D17" w:rsidP="00533DCE">
            <w:pPr>
              <w:jc w:val="right"/>
            </w:pPr>
            <w:r w:rsidRPr="009D759E">
              <w:t>50%</w:t>
            </w:r>
          </w:p>
        </w:tc>
      </w:tr>
      <w:tr w:rsidR="007123C3" w:rsidRPr="00A556E8" w14:paraId="192AD196" w14:textId="77777777" w:rsidTr="00A24D17">
        <w:tc>
          <w:tcPr>
            <w:tcW w:w="562" w:type="dxa"/>
          </w:tcPr>
          <w:p w14:paraId="0A92A1F6" w14:textId="77777777" w:rsidR="00A24D17" w:rsidRPr="00A556E8" w:rsidRDefault="00A24D17" w:rsidP="00C06070">
            <w:r w:rsidRPr="00A556E8">
              <w:t>9</w:t>
            </w:r>
          </w:p>
        </w:tc>
        <w:tc>
          <w:tcPr>
            <w:tcW w:w="2268" w:type="dxa"/>
          </w:tcPr>
          <w:p w14:paraId="365BFF15" w14:textId="77777777" w:rsidR="00A24D17" w:rsidRPr="00A556E8" w:rsidRDefault="00A24D17" w:rsidP="00877624">
            <w:pPr>
              <w:ind w:left="0" w:firstLine="0"/>
            </w:pPr>
            <w:r w:rsidRPr="00A556E8">
              <w:t>This limit seeks to ensure liquidity and reduce the likelihood of any inherent or associated risk</w:t>
            </w:r>
          </w:p>
        </w:tc>
        <w:tc>
          <w:tcPr>
            <w:tcW w:w="1842" w:type="dxa"/>
          </w:tcPr>
          <w:p w14:paraId="0255A29F" w14:textId="77777777" w:rsidR="00A24D17" w:rsidRPr="00A556E8" w:rsidRDefault="00A24D17" w:rsidP="00877624">
            <w:pPr>
              <w:ind w:left="0" w:firstLine="0"/>
              <w:rPr>
                <w:b/>
              </w:rPr>
            </w:pPr>
            <w:r w:rsidRPr="00A556E8">
              <w:rPr>
                <w:b/>
              </w:rPr>
              <w:t>Upper Limit for Sums Invested over 364 days</w:t>
            </w:r>
          </w:p>
        </w:tc>
        <w:tc>
          <w:tcPr>
            <w:tcW w:w="1134" w:type="dxa"/>
          </w:tcPr>
          <w:p w14:paraId="2A4C6702" w14:textId="77777777" w:rsidR="00533DCE" w:rsidRPr="009D759E" w:rsidRDefault="00533DCE" w:rsidP="00533DCE">
            <w:pPr>
              <w:jc w:val="right"/>
            </w:pPr>
          </w:p>
          <w:p w14:paraId="501888E0" w14:textId="77777777" w:rsidR="00A24D17" w:rsidRPr="009D759E" w:rsidRDefault="00A24D17" w:rsidP="00533DCE">
            <w:pPr>
              <w:jc w:val="right"/>
            </w:pPr>
            <w:r w:rsidRPr="009D759E">
              <w:t>60%</w:t>
            </w:r>
          </w:p>
        </w:tc>
        <w:tc>
          <w:tcPr>
            <w:tcW w:w="1134" w:type="dxa"/>
          </w:tcPr>
          <w:p w14:paraId="5847DF5A" w14:textId="77777777" w:rsidR="00533DCE" w:rsidRPr="009D759E" w:rsidRDefault="00533DCE" w:rsidP="00533DCE">
            <w:pPr>
              <w:jc w:val="right"/>
            </w:pPr>
          </w:p>
          <w:p w14:paraId="585061B3" w14:textId="77777777" w:rsidR="00A24D17" w:rsidRPr="009D759E" w:rsidRDefault="00A24D17" w:rsidP="00533DCE">
            <w:pPr>
              <w:jc w:val="right"/>
            </w:pPr>
            <w:r w:rsidRPr="009D759E">
              <w:t>60%</w:t>
            </w:r>
          </w:p>
        </w:tc>
        <w:tc>
          <w:tcPr>
            <w:tcW w:w="1134" w:type="dxa"/>
          </w:tcPr>
          <w:p w14:paraId="1EC10059" w14:textId="77777777" w:rsidR="00533DCE" w:rsidRPr="009D759E" w:rsidRDefault="00533DCE" w:rsidP="00533DCE">
            <w:pPr>
              <w:jc w:val="right"/>
            </w:pPr>
          </w:p>
          <w:p w14:paraId="6D371485" w14:textId="77777777" w:rsidR="00A24D17" w:rsidRPr="009D759E" w:rsidRDefault="00A24D17" w:rsidP="00533DCE">
            <w:pPr>
              <w:jc w:val="right"/>
            </w:pPr>
            <w:r w:rsidRPr="009D759E">
              <w:t>60%</w:t>
            </w:r>
          </w:p>
        </w:tc>
        <w:tc>
          <w:tcPr>
            <w:tcW w:w="1134" w:type="dxa"/>
          </w:tcPr>
          <w:p w14:paraId="751B2960" w14:textId="77777777" w:rsidR="00533DCE" w:rsidRPr="009D759E" w:rsidRDefault="00533DCE" w:rsidP="00533DCE">
            <w:pPr>
              <w:jc w:val="right"/>
            </w:pPr>
          </w:p>
          <w:p w14:paraId="2E0F39D8" w14:textId="77777777" w:rsidR="00A24D17" w:rsidRPr="009D759E" w:rsidRDefault="00A24D17" w:rsidP="00533DCE">
            <w:pPr>
              <w:jc w:val="right"/>
            </w:pPr>
            <w:r w:rsidRPr="009D759E">
              <w:t>60%</w:t>
            </w:r>
          </w:p>
        </w:tc>
      </w:tr>
    </w:tbl>
    <w:p w14:paraId="1AB73139" w14:textId="77777777" w:rsidR="00133551" w:rsidRDefault="00133551" w:rsidP="00C06070"/>
    <w:p w14:paraId="00E8275C" w14:textId="77777777" w:rsidR="0098641C" w:rsidRDefault="0077213A" w:rsidP="00C06070">
      <w:pPr>
        <w:rPr>
          <w:i/>
          <w:sz w:val="18"/>
          <w:szCs w:val="18"/>
        </w:rPr>
      </w:pPr>
      <w:r w:rsidRPr="00366544">
        <w:rPr>
          <w:i/>
          <w:sz w:val="18"/>
          <w:szCs w:val="18"/>
        </w:rPr>
        <w:t xml:space="preserve">* </w:t>
      </w:r>
      <w:r w:rsidR="00366544" w:rsidRPr="00366544">
        <w:rPr>
          <w:i/>
          <w:sz w:val="18"/>
          <w:szCs w:val="18"/>
        </w:rPr>
        <w:tab/>
      </w:r>
      <w:r w:rsidRPr="00366544">
        <w:rPr>
          <w:i/>
          <w:sz w:val="18"/>
          <w:szCs w:val="18"/>
        </w:rPr>
        <w:t xml:space="preserve">CFR </w:t>
      </w:r>
      <w:r w:rsidR="00425F72">
        <w:rPr>
          <w:i/>
          <w:sz w:val="18"/>
          <w:szCs w:val="18"/>
        </w:rPr>
        <w:t xml:space="preserve">and other </w:t>
      </w:r>
      <w:r w:rsidRPr="00366544">
        <w:rPr>
          <w:i/>
          <w:sz w:val="18"/>
          <w:szCs w:val="18"/>
        </w:rPr>
        <w:t>calculation</w:t>
      </w:r>
      <w:r w:rsidR="00425F72">
        <w:rPr>
          <w:i/>
          <w:sz w:val="18"/>
          <w:szCs w:val="18"/>
        </w:rPr>
        <w:t>s</w:t>
      </w:r>
      <w:r w:rsidRPr="00366544">
        <w:rPr>
          <w:i/>
          <w:sz w:val="18"/>
          <w:szCs w:val="18"/>
        </w:rPr>
        <w:t xml:space="preserve"> </w:t>
      </w:r>
      <w:proofErr w:type="gramStart"/>
      <w:r w:rsidRPr="00366544">
        <w:rPr>
          <w:i/>
          <w:sz w:val="18"/>
          <w:szCs w:val="18"/>
        </w:rPr>
        <w:t>includes</w:t>
      </w:r>
      <w:proofErr w:type="gramEnd"/>
      <w:r w:rsidRPr="00366544">
        <w:rPr>
          <w:i/>
          <w:sz w:val="18"/>
          <w:szCs w:val="18"/>
        </w:rPr>
        <w:t xml:space="preserve"> assumptions about the treatment of assets under IFRIC 12 as part of the Resource Recovery Contract (RRC), there are offsetting lease liabilities which will also feature in</w:t>
      </w:r>
      <w:r w:rsidR="003E4CFE">
        <w:rPr>
          <w:i/>
          <w:sz w:val="18"/>
          <w:szCs w:val="18"/>
        </w:rPr>
        <w:t xml:space="preserve"> the authority’s balance sheet</w:t>
      </w:r>
    </w:p>
    <w:p w14:paraId="653AAB1E" w14:textId="77777777" w:rsidR="0009346C" w:rsidRPr="00366544" w:rsidRDefault="0009346C" w:rsidP="00C06070">
      <w:pPr>
        <w:rPr>
          <w:i/>
          <w:sz w:val="18"/>
          <w:szCs w:val="18"/>
        </w:rPr>
      </w:pPr>
      <w:r>
        <w:rPr>
          <w:i/>
          <w:sz w:val="18"/>
          <w:szCs w:val="18"/>
        </w:rPr>
        <w:t>**</w:t>
      </w:r>
      <w:r>
        <w:rPr>
          <w:i/>
          <w:sz w:val="18"/>
          <w:szCs w:val="18"/>
        </w:rPr>
        <w:tab/>
        <w:t>Ratio of financing costs to net revenue stream – the scale of the proportion reflects the element of the contract payments for the PPP contracts which pay for the capital proportions of the services being provided.</w:t>
      </w:r>
    </w:p>
    <w:p w14:paraId="16C38EAB" w14:textId="77777777" w:rsidR="00533DCE" w:rsidRDefault="00533DCE" w:rsidP="00C06070">
      <w:pPr>
        <w:rPr>
          <w:i/>
          <w:sz w:val="18"/>
          <w:szCs w:val="18"/>
        </w:rPr>
        <w:sectPr w:rsidR="00533DCE" w:rsidSect="00133551">
          <w:pgSz w:w="11906" w:h="16838"/>
          <w:pgMar w:top="1440" w:right="1440" w:bottom="1440" w:left="1440" w:header="708" w:footer="708" w:gutter="0"/>
          <w:cols w:space="708"/>
          <w:docGrid w:linePitch="360"/>
        </w:sectPr>
      </w:pPr>
    </w:p>
    <w:p w14:paraId="67450338" w14:textId="77777777" w:rsidR="00533DCE" w:rsidRPr="00533DCE" w:rsidRDefault="00533DCE" w:rsidP="005303AF">
      <w:pPr>
        <w:ind w:left="0" w:firstLine="0"/>
        <w:jc w:val="right"/>
        <w:rPr>
          <w:b/>
        </w:rPr>
      </w:pPr>
      <w:r w:rsidRPr="00533DCE">
        <w:rPr>
          <w:b/>
        </w:rPr>
        <w:lastRenderedPageBreak/>
        <w:t xml:space="preserve">Annex </w:t>
      </w:r>
      <w:r w:rsidR="005303AF">
        <w:rPr>
          <w:b/>
        </w:rPr>
        <w:t>4</w:t>
      </w:r>
    </w:p>
    <w:p w14:paraId="5D997806" w14:textId="77777777" w:rsidR="00533DCE" w:rsidRDefault="00533DCE" w:rsidP="005303AF">
      <w:pPr>
        <w:ind w:left="0" w:firstLine="0"/>
        <w:rPr>
          <w:b/>
        </w:rPr>
      </w:pPr>
      <w:r w:rsidRPr="00533DCE">
        <w:rPr>
          <w:b/>
        </w:rPr>
        <w:t xml:space="preserve">Adoption of the CIPFA Treasury Management in the Public Services Code of Practice and cross </w:t>
      </w:r>
      <w:r w:rsidR="007021CA" w:rsidRPr="00533DCE">
        <w:rPr>
          <w:b/>
        </w:rPr>
        <w:t>sectorial</w:t>
      </w:r>
      <w:r w:rsidRPr="00533DCE">
        <w:rPr>
          <w:b/>
        </w:rPr>
        <w:t>-guidance notes</w:t>
      </w:r>
    </w:p>
    <w:p w14:paraId="639E619C" w14:textId="77777777" w:rsidR="00533DCE" w:rsidRDefault="00533DCE" w:rsidP="00533DCE">
      <w:pPr>
        <w:rPr>
          <w:b/>
        </w:rPr>
      </w:pPr>
    </w:p>
    <w:p w14:paraId="4E1378EF" w14:textId="32D460A6" w:rsidR="00533DCE" w:rsidRDefault="00533DCE" w:rsidP="00877624">
      <w:pPr>
        <w:ind w:left="0" w:firstLine="0"/>
      </w:pPr>
      <w:r w:rsidRPr="00533DCE">
        <w:t>The</w:t>
      </w:r>
      <w:r>
        <w:t xml:space="preserve"> 2011 revision of the CIPFA Code recommends that all public service bodies formally adopt four specific clauses as contained in the Code. All requirements of the Code are implemented through the governance frameworks, policies, systems, procedures and controls in place both in the Authority and the Council which provides Treasury Management functions and will continue to be so. For completeness it is recommended that the Authority formally approve the following:</w:t>
      </w:r>
    </w:p>
    <w:p w14:paraId="5C134BCE" w14:textId="77777777" w:rsidR="00533DCE" w:rsidRDefault="00533DCE" w:rsidP="00533DCE">
      <w:r>
        <w:t>1</w:t>
      </w:r>
      <w:r>
        <w:tab/>
        <w:t>The Authority will create and maintain</w:t>
      </w:r>
      <w:r w:rsidR="00BC7957">
        <w:t>, as the cornerstones for effective treasury management:</w:t>
      </w:r>
    </w:p>
    <w:p w14:paraId="6B4FF5A6" w14:textId="77777777" w:rsidR="00BC7957" w:rsidRDefault="00BC7957" w:rsidP="00BC7957">
      <w:pPr>
        <w:pStyle w:val="ListParagraph"/>
        <w:numPr>
          <w:ilvl w:val="0"/>
          <w:numId w:val="9"/>
        </w:numPr>
      </w:pPr>
      <w:r>
        <w:t>A treasury management policy statement, stating the policies, objectives and approaches to risk management of its treasury management activities. In the case of the Authority this will mirror the policy statement of St Helens Council which provides the Treasury Management function for the Authority.</w:t>
      </w:r>
    </w:p>
    <w:p w14:paraId="758FDD02" w14:textId="77777777" w:rsidR="00BC7957" w:rsidRDefault="00BC7957" w:rsidP="00BC7957">
      <w:pPr>
        <w:pStyle w:val="ListParagraph"/>
        <w:numPr>
          <w:ilvl w:val="0"/>
          <w:numId w:val="9"/>
        </w:numPr>
      </w:pPr>
      <w:r>
        <w:t>The use of suitable Treasury Management Practices (TMPs) as developed by St Helens Council, which set out the manner in which St Helens, on the Authority’s behalf, will seek to achieve those policies and objectives, and prescribing how it will manage and control those objectives.</w:t>
      </w:r>
    </w:p>
    <w:p w14:paraId="2B1E91BC" w14:textId="77777777" w:rsidR="00BC7957" w:rsidRDefault="00BC7957" w:rsidP="00533DCE">
      <w:r>
        <w:t>2</w:t>
      </w:r>
      <w:r>
        <w:tab/>
        <w:t>The Authority will receive reports on the Treasury Management policies, activities and practices carried out on its behalf, including as a minimum an annual strategy and plan in advance of the year and an annual review after the year end, together with such updates as may be required where there are unplanned changes.</w:t>
      </w:r>
    </w:p>
    <w:p w14:paraId="4EC9A473" w14:textId="77777777" w:rsidR="00BC7957" w:rsidRDefault="00BC7957" w:rsidP="00533DCE">
      <w:r>
        <w:t>3.</w:t>
      </w:r>
      <w:r>
        <w:tab/>
        <w:t>The Authority will work with the Director of Finance in the administration of Treasury Management decisions, and in particular the Director of Finance will liaise closely with the St Helens Treasurer to whom the Authority has delegated the day to day operation of Treasury Management policy and practices on behalf of the Authority</w:t>
      </w:r>
      <w:r w:rsidR="00ED5FC2">
        <w:t xml:space="preserve"> under a Service Level Agreement (SLA)</w:t>
      </w:r>
      <w:r>
        <w:t>. The Council will act in accordance with the approved Policy Statement, and TMPs and the CIPFA Standard of Professional Practice on Treasury Management.</w:t>
      </w:r>
    </w:p>
    <w:p w14:paraId="28B6B0BC" w14:textId="77777777" w:rsidR="00ED5FC2" w:rsidRDefault="00ED5FC2" w:rsidP="00533DCE">
      <w:r>
        <w:t xml:space="preserve">4. </w:t>
      </w:r>
      <w:r>
        <w:tab/>
        <w:t>The Authority is responsible for ensuring effective scrutiny of the treasury management strategy and practices.</w:t>
      </w:r>
    </w:p>
    <w:p w14:paraId="03A6F7CA" w14:textId="77777777" w:rsidR="00ED5FC2" w:rsidRDefault="00ED5FC2" w:rsidP="00533DCE"/>
    <w:p w14:paraId="377CAB8B" w14:textId="77777777" w:rsidR="00ED5FC2" w:rsidRDefault="00ED5FC2" w:rsidP="00533DCE">
      <w:pPr>
        <w:sectPr w:rsidR="00ED5FC2" w:rsidSect="00133551">
          <w:pgSz w:w="11906" w:h="16838"/>
          <w:pgMar w:top="1440" w:right="1440" w:bottom="1440" w:left="1440" w:header="708" w:footer="708" w:gutter="0"/>
          <w:cols w:space="708"/>
          <w:docGrid w:linePitch="360"/>
        </w:sectPr>
      </w:pPr>
    </w:p>
    <w:p w14:paraId="44CDBEF3" w14:textId="77777777" w:rsidR="00ED5FC2" w:rsidRPr="00ED5FC2" w:rsidRDefault="00ED5FC2" w:rsidP="00ED5FC2">
      <w:pPr>
        <w:jc w:val="right"/>
        <w:rPr>
          <w:b/>
        </w:rPr>
      </w:pPr>
      <w:r w:rsidRPr="00ED5FC2">
        <w:rPr>
          <w:b/>
        </w:rPr>
        <w:lastRenderedPageBreak/>
        <w:t xml:space="preserve">Annex </w:t>
      </w:r>
      <w:r w:rsidR="005303AF">
        <w:rPr>
          <w:b/>
        </w:rPr>
        <w:t>5</w:t>
      </w:r>
    </w:p>
    <w:p w14:paraId="242346BF" w14:textId="77777777" w:rsidR="00ED5FC2" w:rsidRPr="00ED5FC2" w:rsidRDefault="00ED5FC2" w:rsidP="00533DCE">
      <w:pPr>
        <w:rPr>
          <w:b/>
        </w:rPr>
      </w:pPr>
      <w:r w:rsidRPr="00ED5FC2">
        <w:rPr>
          <w:b/>
        </w:rPr>
        <w:t>Treasury Management Policy Statement</w:t>
      </w:r>
    </w:p>
    <w:p w14:paraId="785DD863" w14:textId="77777777" w:rsidR="00ED5FC2" w:rsidRDefault="00ED5FC2" w:rsidP="00ED5FC2">
      <w:r>
        <w:t>The policies and objectives of the Treasury Management function under the SLA are defined as follows:</w:t>
      </w:r>
    </w:p>
    <w:p w14:paraId="43434759" w14:textId="77777777" w:rsidR="00ED5FC2" w:rsidRDefault="00ED5FC2" w:rsidP="00533DCE">
      <w:r>
        <w:t>1.</w:t>
      </w:r>
      <w:r>
        <w:tab/>
        <w:t xml:space="preserve">Treasury Management is ‘the management of the Authority’s investments and cash flows; its banking, money market and </w:t>
      </w:r>
      <w:r w:rsidR="005B5E63">
        <w:t>Capital</w:t>
      </w:r>
      <w:r>
        <w:t xml:space="preserve"> market transactions; the effective control of the risks associated with those activities; and the pursuit of optimum performance consistent with those risks’.</w:t>
      </w:r>
    </w:p>
    <w:p w14:paraId="07150511" w14:textId="77777777" w:rsidR="00ED5FC2" w:rsidRDefault="00ED5FC2" w:rsidP="00533DCE">
      <w:r>
        <w:t>2.</w:t>
      </w:r>
      <w:r>
        <w:tab/>
        <w:t>The successful identification, monitoring and control of risks are the prime criteria by which the effectiveness of its Treasury Management activities will be measured. Accordingly, the analysis and reporting of Treasury Management activities will focus on their risk implications for the Authority.</w:t>
      </w:r>
    </w:p>
    <w:p w14:paraId="4C700796" w14:textId="77777777" w:rsidR="00ED5FC2" w:rsidRDefault="00ED5FC2" w:rsidP="00533DCE">
      <w:r>
        <w:t>3.</w:t>
      </w:r>
      <w:r>
        <w:tab/>
        <w:t>It is acknowledged that effective Treasury Management will provide support towards the achievement of its business and service objectives and the Authority is committed to the principles of value for money in Treasury Management, and to employing suitable comprehensive performance measurement techniques within the context of effective risk management.</w:t>
      </w:r>
    </w:p>
    <w:p w14:paraId="00DFD7FE" w14:textId="77777777" w:rsidR="0058432E" w:rsidRDefault="0058432E">
      <w:r>
        <w:br w:type="page"/>
      </w:r>
    </w:p>
    <w:p w14:paraId="266DDE3A" w14:textId="77777777" w:rsidR="0058432E" w:rsidRDefault="0058432E" w:rsidP="00CA6057">
      <w:pPr>
        <w:jc w:val="right"/>
        <w:rPr>
          <w:b/>
        </w:rPr>
      </w:pPr>
      <w:r w:rsidRPr="0058432E">
        <w:rPr>
          <w:b/>
        </w:rPr>
        <w:lastRenderedPageBreak/>
        <w:t>Ann</w:t>
      </w:r>
      <w:r w:rsidR="00CA6057">
        <w:rPr>
          <w:b/>
        </w:rPr>
        <w:t>e</w:t>
      </w:r>
      <w:r w:rsidRPr="0058432E">
        <w:rPr>
          <w:b/>
        </w:rPr>
        <w:t>x 6</w:t>
      </w:r>
    </w:p>
    <w:p w14:paraId="5FF31E54" w14:textId="77777777" w:rsidR="0058432E" w:rsidRDefault="0058432E" w:rsidP="00533DCE">
      <w:pPr>
        <w:rPr>
          <w:b/>
        </w:rPr>
      </w:pPr>
    </w:p>
    <w:p w14:paraId="0CDF57E5" w14:textId="77777777" w:rsidR="0058432E" w:rsidRDefault="00CA6057" w:rsidP="00533DCE">
      <w:pPr>
        <w:rPr>
          <w:b/>
        </w:rPr>
      </w:pPr>
      <w:r>
        <w:rPr>
          <w:b/>
        </w:rPr>
        <w:t>CIPFA Financial management code</w:t>
      </w:r>
    </w:p>
    <w:p w14:paraId="6F3BA00A" w14:textId="77777777" w:rsidR="00CA6057" w:rsidRDefault="00CA6057" w:rsidP="00CA6057">
      <w:pPr>
        <w:ind w:left="0" w:firstLine="0"/>
      </w:pPr>
      <w:r>
        <w:t>CIPFA have introdu</w:t>
      </w:r>
      <w:r w:rsidRPr="00CA6057">
        <w:t>ced a</w:t>
      </w:r>
      <w:r>
        <w:t xml:space="preserve"> new ‘Financial Management Code’ with a transitional period commencing in 2020-21, with a view to full adoption of the Code by all local authorities by 2021-22.</w:t>
      </w:r>
    </w:p>
    <w:p w14:paraId="5D779425" w14:textId="77777777" w:rsidR="00CA6057" w:rsidRDefault="00CA6057" w:rsidP="00CA6057">
      <w:pPr>
        <w:ind w:left="0" w:firstLine="0"/>
      </w:pPr>
      <w:r>
        <w:t>Key elements of the Code will be:</w:t>
      </w:r>
    </w:p>
    <w:p w14:paraId="4F7B3AAA" w14:textId="77777777" w:rsidR="00CA6057" w:rsidRDefault="00CA6057" w:rsidP="00CA6057">
      <w:pPr>
        <w:pStyle w:val="ListParagraph"/>
        <w:numPr>
          <w:ilvl w:val="0"/>
          <w:numId w:val="19"/>
        </w:numPr>
      </w:pPr>
      <w:r>
        <w:t>Leadership</w:t>
      </w:r>
    </w:p>
    <w:p w14:paraId="458662D3" w14:textId="77777777" w:rsidR="00CA6057" w:rsidRDefault="00CA6057" w:rsidP="00CA6057">
      <w:pPr>
        <w:pStyle w:val="ListParagraph"/>
        <w:numPr>
          <w:ilvl w:val="0"/>
          <w:numId w:val="19"/>
        </w:numPr>
      </w:pPr>
      <w:r>
        <w:t>Accountability</w:t>
      </w:r>
    </w:p>
    <w:p w14:paraId="4F8A150A" w14:textId="77777777" w:rsidR="00CA6057" w:rsidRDefault="00CA6057" w:rsidP="00CA6057">
      <w:pPr>
        <w:pStyle w:val="ListParagraph"/>
        <w:numPr>
          <w:ilvl w:val="0"/>
          <w:numId w:val="19"/>
        </w:numPr>
      </w:pPr>
      <w:r>
        <w:t>Transparency</w:t>
      </w:r>
    </w:p>
    <w:p w14:paraId="7F55F90B" w14:textId="77777777" w:rsidR="00CA6057" w:rsidRDefault="00CA6057" w:rsidP="00CA6057">
      <w:pPr>
        <w:pStyle w:val="ListParagraph"/>
        <w:numPr>
          <w:ilvl w:val="0"/>
          <w:numId w:val="19"/>
        </w:numPr>
      </w:pPr>
      <w:r>
        <w:t>Standards</w:t>
      </w:r>
    </w:p>
    <w:p w14:paraId="20402817" w14:textId="77777777" w:rsidR="00CA6057" w:rsidRDefault="00CA6057" w:rsidP="00CA6057">
      <w:pPr>
        <w:pStyle w:val="ListParagraph"/>
        <w:numPr>
          <w:ilvl w:val="0"/>
          <w:numId w:val="19"/>
        </w:numPr>
      </w:pPr>
      <w:r>
        <w:t>Assurance</w:t>
      </w:r>
    </w:p>
    <w:p w14:paraId="584EAF07" w14:textId="77777777" w:rsidR="00CA6057" w:rsidRDefault="00CA6057" w:rsidP="00CA6057">
      <w:pPr>
        <w:pStyle w:val="ListParagraph"/>
        <w:numPr>
          <w:ilvl w:val="0"/>
          <w:numId w:val="19"/>
        </w:numPr>
      </w:pPr>
      <w:r>
        <w:t>Sustainability</w:t>
      </w:r>
    </w:p>
    <w:p w14:paraId="5D9D93FB" w14:textId="77777777" w:rsidR="00CA6057" w:rsidRPr="00CA6057" w:rsidRDefault="00CA6057" w:rsidP="00CA6057">
      <w:pPr>
        <w:ind w:left="0" w:firstLine="0"/>
      </w:pPr>
      <w:r>
        <w:t>These elements are all parts of earlier Codes and the new FM Code will bring them together. Both the Treasury Management and the budget reports for 2020-21 have been prepared taking account of the broad headlines of the Code. Members will be provided with more opportunity to consider how the Authority should respond to the new Code during 2020-21, which is the transitional year.</w:t>
      </w:r>
    </w:p>
    <w:p w14:paraId="0142E85E" w14:textId="77777777" w:rsidR="00533DCE" w:rsidRDefault="00533DCE" w:rsidP="00C06070"/>
    <w:p w14:paraId="7ED90C00" w14:textId="77777777" w:rsidR="005303AF" w:rsidRDefault="005303AF" w:rsidP="00C06070">
      <w:pPr>
        <w:sectPr w:rsidR="005303AF" w:rsidSect="00133551">
          <w:pgSz w:w="11906" w:h="16838"/>
          <w:pgMar w:top="1440" w:right="1440" w:bottom="1440" w:left="1440" w:header="708" w:footer="708" w:gutter="0"/>
          <w:cols w:space="708"/>
          <w:docGrid w:linePitch="360"/>
        </w:sectPr>
      </w:pPr>
    </w:p>
    <w:p w14:paraId="67AE627F" w14:textId="77777777" w:rsidR="005303AF" w:rsidRPr="005303AF" w:rsidRDefault="005303AF" w:rsidP="005303AF">
      <w:pPr>
        <w:jc w:val="right"/>
        <w:rPr>
          <w:b/>
        </w:rPr>
      </w:pPr>
      <w:r w:rsidRPr="005303AF">
        <w:rPr>
          <w:b/>
        </w:rPr>
        <w:lastRenderedPageBreak/>
        <w:t>Annex</w:t>
      </w:r>
      <w:r w:rsidR="00CA6057">
        <w:rPr>
          <w:b/>
        </w:rPr>
        <w:t xml:space="preserve"> 7</w:t>
      </w:r>
    </w:p>
    <w:p w14:paraId="28058951" w14:textId="77777777" w:rsidR="005303AF" w:rsidRPr="00205745" w:rsidRDefault="005303AF" w:rsidP="005303AF">
      <w:pPr>
        <w:rPr>
          <w:b/>
          <w:sz w:val="28"/>
          <w:szCs w:val="28"/>
        </w:rPr>
      </w:pPr>
      <w:r w:rsidRPr="00205745">
        <w:rPr>
          <w:b/>
          <w:sz w:val="28"/>
          <w:szCs w:val="28"/>
        </w:rPr>
        <w:t>MRWA capital strategy</w:t>
      </w:r>
    </w:p>
    <w:p w14:paraId="7771A078" w14:textId="77777777" w:rsidR="005303AF" w:rsidRDefault="005303AF" w:rsidP="005303AF">
      <w:pPr>
        <w:ind w:left="0" w:firstLine="0"/>
      </w:pPr>
      <w:r>
        <w:t>The Capital Strategy sets out a summary for Members of how the Authority’s Corporate Plan objectives are supported by the assets it deploys; whether those assets need to be changed or improved; how the assets are managed and maintained; what finances are used to provide the support to assets and where those finances come from. It also confirms for Members the Authority’s approach to the Prudential Code and Treasury Management where the Authority may have any surplus funds available.</w:t>
      </w:r>
    </w:p>
    <w:p w14:paraId="5D2616B3" w14:textId="77777777" w:rsidR="00EF6323" w:rsidRPr="0096176F" w:rsidRDefault="005303AF" w:rsidP="0096176F">
      <w:pPr>
        <w:rPr>
          <w:b/>
          <w:sz w:val="28"/>
          <w:szCs w:val="28"/>
        </w:rPr>
      </w:pPr>
      <w:r w:rsidRPr="00205745">
        <w:rPr>
          <w:b/>
          <w:sz w:val="28"/>
          <w:szCs w:val="28"/>
        </w:rPr>
        <w:t>The Corporate Plan</w:t>
      </w:r>
    </w:p>
    <w:p w14:paraId="1941BBA7" w14:textId="77777777" w:rsidR="00EF6323" w:rsidRPr="00EF6323" w:rsidRDefault="00EF6323" w:rsidP="00EF6323">
      <w:pPr>
        <w:pStyle w:val="BodyText"/>
        <w:outlineLvl w:val="0"/>
        <w:rPr>
          <w:rFonts w:asciiTheme="minorHAnsi" w:hAnsiTheme="minorHAnsi"/>
          <w:b/>
          <w:bCs/>
        </w:rPr>
      </w:pPr>
      <w:r w:rsidRPr="00EF6323">
        <w:rPr>
          <w:rFonts w:asciiTheme="minorHAnsi" w:hAnsiTheme="minorHAnsi"/>
          <w:b/>
          <w:bCs/>
        </w:rPr>
        <w:t>MISSION STATEMENT 202</w:t>
      </w:r>
      <w:r w:rsidR="007123C3">
        <w:rPr>
          <w:rFonts w:asciiTheme="minorHAnsi" w:hAnsiTheme="minorHAnsi"/>
          <w:b/>
          <w:bCs/>
        </w:rPr>
        <w:t>1</w:t>
      </w:r>
      <w:r w:rsidRPr="00EF6323">
        <w:rPr>
          <w:rFonts w:asciiTheme="minorHAnsi" w:hAnsiTheme="minorHAnsi"/>
          <w:b/>
          <w:bCs/>
        </w:rPr>
        <w:t>-2</w:t>
      </w:r>
      <w:r w:rsidR="007123C3">
        <w:rPr>
          <w:rFonts w:asciiTheme="minorHAnsi" w:hAnsiTheme="minorHAnsi"/>
          <w:b/>
          <w:bCs/>
        </w:rPr>
        <w:t>2</w:t>
      </w:r>
      <w:r w:rsidRPr="00EF6323">
        <w:rPr>
          <w:rFonts w:asciiTheme="minorHAnsi" w:hAnsiTheme="minorHAnsi"/>
          <w:b/>
          <w:bCs/>
        </w:rPr>
        <w:t>:</w:t>
      </w:r>
    </w:p>
    <w:p w14:paraId="09C8BB5B" w14:textId="77777777" w:rsidR="00EF6323" w:rsidRPr="00EF6323" w:rsidRDefault="00EF6323" w:rsidP="00EF6323">
      <w:pPr>
        <w:pStyle w:val="BodyText"/>
        <w:jc w:val="center"/>
        <w:outlineLvl w:val="0"/>
        <w:rPr>
          <w:rFonts w:asciiTheme="minorHAnsi" w:hAnsiTheme="minorHAnsi"/>
          <w:bCs/>
        </w:rPr>
      </w:pPr>
    </w:p>
    <w:p w14:paraId="74C842AF" w14:textId="77777777" w:rsidR="00EF6323" w:rsidRPr="00EF6323" w:rsidRDefault="00EF6323" w:rsidP="00EF6323">
      <w:pPr>
        <w:pStyle w:val="BodyText"/>
        <w:outlineLvl w:val="0"/>
        <w:rPr>
          <w:rFonts w:asciiTheme="minorHAnsi" w:hAnsiTheme="minorHAnsi"/>
          <w:bCs/>
        </w:rPr>
      </w:pPr>
      <w:r w:rsidRPr="00EF6323">
        <w:rPr>
          <w:rFonts w:asciiTheme="minorHAnsi" w:hAnsiTheme="minorHAnsi"/>
          <w:bCs/>
        </w:rPr>
        <w:t>“To ensure that we reduce the impact of our actions on climate change and improve the sustainable management of waste and resources.”</w:t>
      </w:r>
    </w:p>
    <w:p w14:paraId="41B32F5B" w14:textId="77777777" w:rsidR="005303AF" w:rsidRDefault="005303AF" w:rsidP="005303AF"/>
    <w:tbl>
      <w:tblPr>
        <w:tblStyle w:val="TableGrid"/>
        <w:tblW w:w="0" w:type="auto"/>
        <w:tblLook w:val="04A0" w:firstRow="1" w:lastRow="0" w:firstColumn="1" w:lastColumn="0" w:noHBand="0" w:noVBand="1"/>
      </w:tblPr>
      <w:tblGrid>
        <w:gridCol w:w="3480"/>
        <w:gridCol w:w="3474"/>
        <w:gridCol w:w="3497"/>
        <w:gridCol w:w="3497"/>
      </w:tblGrid>
      <w:tr w:rsidR="0060041C" w14:paraId="7EC11501" w14:textId="77777777" w:rsidTr="00CA6057">
        <w:tc>
          <w:tcPr>
            <w:tcW w:w="3543" w:type="dxa"/>
          </w:tcPr>
          <w:p w14:paraId="122C9299" w14:textId="77777777" w:rsidR="0060041C" w:rsidRDefault="0060041C" w:rsidP="00EF6323">
            <w:pPr>
              <w:rPr>
                <w:b/>
              </w:rPr>
            </w:pPr>
            <w:r>
              <w:rPr>
                <w:b/>
              </w:rPr>
              <w:t>Corporate Aim 1</w:t>
            </w:r>
          </w:p>
          <w:p w14:paraId="5300B792" w14:textId="77777777" w:rsidR="0060041C" w:rsidRDefault="0060041C" w:rsidP="00EF6323">
            <w:pPr>
              <w:rPr>
                <w:b/>
              </w:rPr>
            </w:pPr>
          </w:p>
          <w:p w14:paraId="5D8F3A86" w14:textId="77777777" w:rsidR="0060041C" w:rsidRDefault="0060041C" w:rsidP="0060041C">
            <w:pPr>
              <w:ind w:left="0" w:firstLine="0"/>
              <w:rPr>
                <w:b/>
              </w:rPr>
            </w:pPr>
            <w:r>
              <w:rPr>
                <w:b/>
              </w:rPr>
              <w:t>IMPROVE THE SUSTAINABLE MANAGEMENT OF WASTE AND RESOURCE</w:t>
            </w:r>
          </w:p>
        </w:tc>
        <w:tc>
          <w:tcPr>
            <w:tcW w:w="3543" w:type="dxa"/>
          </w:tcPr>
          <w:p w14:paraId="5AC50264" w14:textId="77777777" w:rsidR="0060041C" w:rsidRDefault="0060041C" w:rsidP="00EF6323">
            <w:pPr>
              <w:rPr>
                <w:rFonts w:ascii="Calibri" w:eastAsia="Calibri" w:hAnsi="Calibri" w:cs="Times New Roman"/>
                <w:b/>
              </w:rPr>
            </w:pPr>
            <w:r>
              <w:rPr>
                <w:rFonts w:ascii="Calibri" w:eastAsia="Calibri" w:hAnsi="Calibri" w:cs="Times New Roman"/>
                <w:b/>
              </w:rPr>
              <w:t>Corporate aim 2</w:t>
            </w:r>
          </w:p>
          <w:p w14:paraId="52F99CC1" w14:textId="77777777" w:rsidR="0060041C" w:rsidRDefault="0060041C" w:rsidP="00EF6323">
            <w:pPr>
              <w:rPr>
                <w:rFonts w:ascii="Calibri" w:eastAsia="Calibri" w:hAnsi="Calibri" w:cs="Times New Roman"/>
                <w:b/>
              </w:rPr>
            </w:pPr>
          </w:p>
          <w:p w14:paraId="4CFF7D91" w14:textId="77777777" w:rsidR="0060041C" w:rsidRDefault="0060041C" w:rsidP="0060041C">
            <w:pPr>
              <w:ind w:left="0" w:firstLine="0"/>
              <w:rPr>
                <w:rFonts w:ascii="Calibri" w:eastAsia="Calibri" w:hAnsi="Calibri" w:cs="Times New Roman"/>
                <w:b/>
              </w:rPr>
            </w:pPr>
            <w:r>
              <w:rPr>
                <w:rFonts w:ascii="Calibri" w:eastAsia="Calibri" w:hAnsi="Calibri" w:cs="Times New Roman"/>
                <w:b/>
              </w:rPr>
              <w:t>WE WILL DELIVER EFFECTIVE WASTE SERVICES</w:t>
            </w:r>
          </w:p>
        </w:tc>
        <w:tc>
          <w:tcPr>
            <w:tcW w:w="3544" w:type="dxa"/>
          </w:tcPr>
          <w:p w14:paraId="0080FB45" w14:textId="77777777" w:rsidR="0060041C" w:rsidRDefault="0060041C" w:rsidP="0060041C">
            <w:pPr>
              <w:ind w:left="0" w:firstLine="0"/>
              <w:rPr>
                <w:b/>
              </w:rPr>
            </w:pPr>
            <w:r>
              <w:rPr>
                <w:b/>
              </w:rPr>
              <w:t>Corporate aim 3</w:t>
            </w:r>
          </w:p>
          <w:p w14:paraId="6F344681" w14:textId="77777777" w:rsidR="0060041C" w:rsidRDefault="0060041C" w:rsidP="0060041C">
            <w:pPr>
              <w:ind w:left="0" w:firstLine="0"/>
              <w:rPr>
                <w:b/>
              </w:rPr>
            </w:pPr>
          </w:p>
          <w:p w14:paraId="4381A4CC" w14:textId="77777777" w:rsidR="0060041C" w:rsidRDefault="0060041C" w:rsidP="0060041C">
            <w:pPr>
              <w:ind w:left="0" w:firstLine="0"/>
              <w:rPr>
                <w:b/>
              </w:rPr>
            </w:pPr>
            <w:r>
              <w:rPr>
                <w:b/>
              </w:rPr>
              <w:t>CO-OPERATE TO IMPR</w:t>
            </w:r>
            <w:r w:rsidR="0096176F">
              <w:rPr>
                <w:b/>
              </w:rPr>
              <w:t>O</w:t>
            </w:r>
            <w:r>
              <w:rPr>
                <w:b/>
              </w:rPr>
              <w:t>VE WORKING ARRANGEMENTS</w:t>
            </w:r>
          </w:p>
        </w:tc>
        <w:tc>
          <w:tcPr>
            <w:tcW w:w="3544" w:type="dxa"/>
          </w:tcPr>
          <w:p w14:paraId="5F9BF4B5" w14:textId="77777777" w:rsidR="0060041C" w:rsidRDefault="0060041C" w:rsidP="00EF6323">
            <w:pPr>
              <w:rPr>
                <w:b/>
              </w:rPr>
            </w:pPr>
            <w:r>
              <w:rPr>
                <w:b/>
              </w:rPr>
              <w:t>Corporate aim 4</w:t>
            </w:r>
          </w:p>
          <w:p w14:paraId="7D07B258" w14:textId="77777777" w:rsidR="0060041C" w:rsidRDefault="0060041C" w:rsidP="00EF6323">
            <w:pPr>
              <w:rPr>
                <w:b/>
              </w:rPr>
            </w:pPr>
          </w:p>
          <w:p w14:paraId="2B51DE12" w14:textId="77777777" w:rsidR="0060041C" w:rsidRDefault="0060041C" w:rsidP="0060041C">
            <w:pPr>
              <w:ind w:left="0" w:firstLine="0"/>
              <w:rPr>
                <w:b/>
              </w:rPr>
            </w:pPr>
            <w:r>
              <w:rPr>
                <w:b/>
              </w:rPr>
              <w:t>MEASURE AND REPORT ON CLIMATE CHANGE IMPACTS AND SUSTAINABILITY IMPROVEMENTS</w:t>
            </w:r>
          </w:p>
        </w:tc>
      </w:tr>
      <w:tr w:rsidR="00EF6323" w14:paraId="2EED61BE" w14:textId="77777777" w:rsidTr="00CA6057">
        <w:tc>
          <w:tcPr>
            <w:tcW w:w="3543" w:type="dxa"/>
          </w:tcPr>
          <w:p w14:paraId="504FB79B" w14:textId="77777777" w:rsidR="00EF6323" w:rsidRDefault="00EF6323" w:rsidP="00EF6323">
            <w:pPr>
              <w:rPr>
                <w:b/>
              </w:rPr>
            </w:pPr>
            <w:r>
              <w:rPr>
                <w:b/>
              </w:rPr>
              <w:t>Our Key Priorities in 202</w:t>
            </w:r>
            <w:r w:rsidR="007123C3">
              <w:rPr>
                <w:b/>
              </w:rPr>
              <w:t>1</w:t>
            </w:r>
            <w:r>
              <w:rPr>
                <w:b/>
              </w:rPr>
              <w:t>/2</w:t>
            </w:r>
            <w:r w:rsidR="007123C3">
              <w:rPr>
                <w:b/>
              </w:rPr>
              <w:t>2</w:t>
            </w:r>
            <w:r>
              <w:rPr>
                <w:b/>
              </w:rPr>
              <w:t>:</w:t>
            </w:r>
          </w:p>
          <w:p w14:paraId="1D43930C" w14:textId="77777777" w:rsidR="00EF6323" w:rsidRPr="00827350" w:rsidRDefault="00EF6323" w:rsidP="00EF6323"/>
          <w:p w14:paraId="446CEFC0" w14:textId="77777777" w:rsidR="0060041C" w:rsidRPr="0060041C" w:rsidRDefault="0060041C" w:rsidP="0060041C">
            <w:r w:rsidRPr="0060041C">
              <w:t>To achieve this, we will:</w:t>
            </w:r>
            <w:r w:rsidRPr="0060041C">
              <w:tab/>
            </w:r>
          </w:p>
          <w:p w14:paraId="22368207" w14:textId="77777777" w:rsidR="0060041C" w:rsidRPr="0060041C" w:rsidRDefault="0060041C" w:rsidP="0060041C">
            <w:r w:rsidRPr="0060041C">
              <w:t>•</w:t>
            </w:r>
            <w:r w:rsidRPr="0060041C">
              <w:tab/>
              <w:t>Develop and implement a new waste strategy to address climate change and maximise the value of otherwise wasted resources in terms of economic, environmental and social benefits;</w:t>
            </w:r>
          </w:p>
          <w:p w14:paraId="202701E3" w14:textId="77777777" w:rsidR="0060041C" w:rsidRPr="0060041C" w:rsidRDefault="0060041C" w:rsidP="0060041C">
            <w:r w:rsidRPr="0060041C">
              <w:lastRenderedPageBreak/>
              <w:t>•</w:t>
            </w:r>
            <w:r w:rsidRPr="0060041C">
              <w:tab/>
              <w:t xml:space="preserve">Work together with stakeholders to provide services that improve the environment, support the local economy and benefit the local community; and </w:t>
            </w:r>
          </w:p>
          <w:p w14:paraId="138035E9" w14:textId="77777777" w:rsidR="0060041C" w:rsidRPr="0060041C" w:rsidRDefault="0060041C" w:rsidP="0060041C">
            <w:r w:rsidRPr="0060041C">
              <w:t>•</w:t>
            </w:r>
            <w:r w:rsidRPr="0060041C">
              <w:tab/>
              <w:t>Reduce waste and promote unwanted materials as a valuable resource.</w:t>
            </w:r>
          </w:p>
          <w:p w14:paraId="38A0FA52" w14:textId="77777777" w:rsidR="00EF6323" w:rsidRPr="003932DB" w:rsidRDefault="00EF6323" w:rsidP="00EF6323">
            <w:pPr>
              <w:rPr>
                <w:b/>
              </w:rPr>
            </w:pPr>
          </w:p>
          <w:p w14:paraId="12AFEAFE" w14:textId="77777777" w:rsidR="00EF6323" w:rsidRPr="003932DB" w:rsidRDefault="00EF6323" w:rsidP="00EF6323">
            <w:pPr>
              <w:rPr>
                <w:b/>
              </w:rPr>
            </w:pPr>
          </w:p>
        </w:tc>
        <w:tc>
          <w:tcPr>
            <w:tcW w:w="3543" w:type="dxa"/>
          </w:tcPr>
          <w:p w14:paraId="01D6C587" w14:textId="77777777" w:rsidR="00EF6323" w:rsidRDefault="00EF6323" w:rsidP="00EF6323">
            <w:pPr>
              <w:rPr>
                <w:rFonts w:ascii="Calibri" w:eastAsia="Calibri" w:hAnsi="Calibri" w:cs="Times New Roman"/>
                <w:b/>
              </w:rPr>
            </w:pPr>
            <w:r>
              <w:rPr>
                <w:rFonts w:ascii="Calibri" w:eastAsia="Calibri" w:hAnsi="Calibri" w:cs="Times New Roman"/>
                <w:b/>
              </w:rPr>
              <w:lastRenderedPageBreak/>
              <w:t>Our Key Priorities in 202</w:t>
            </w:r>
            <w:r w:rsidR="007123C3">
              <w:rPr>
                <w:rFonts w:ascii="Calibri" w:eastAsia="Calibri" w:hAnsi="Calibri" w:cs="Times New Roman"/>
                <w:b/>
              </w:rPr>
              <w:t>1</w:t>
            </w:r>
            <w:r w:rsidRPr="00425177">
              <w:rPr>
                <w:rFonts w:ascii="Calibri" w:eastAsia="Calibri" w:hAnsi="Calibri" w:cs="Times New Roman"/>
                <w:b/>
              </w:rPr>
              <w:t>/</w:t>
            </w:r>
            <w:r>
              <w:rPr>
                <w:rFonts w:ascii="Calibri" w:eastAsia="Calibri" w:hAnsi="Calibri" w:cs="Times New Roman"/>
                <w:b/>
              </w:rPr>
              <w:t>2</w:t>
            </w:r>
            <w:r w:rsidR="007123C3">
              <w:rPr>
                <w:rFonts w:ascii="Calibri" w:eastAsia="Calibri" w:hAnsi="Calibri" w:cs="Times New Roman"/>
                <w:b/>
              </w:rPr>
              <w:t>2</w:t>
            </w:r>
            <w:r w:rsidRPr="00425177">
              <w:rPr>
                <w:rFonts w:ascii="Calibri" w:eastAsia="Calibri" w:hAnsi="Calibri" w:cs="Times New Roman"/>
                <w:b/>
              </w:rPr>
              <w:t>:</w:t>
            </w:r>
          </w:p>
          <w:p w14:paraId="276488D0" w14:textId="77777777" w:rsidR="00EF6323" w:rsidRDefault="00EF6323" w:rsidP="00EF6323">
            <w:pPr>
              <w:rPr>
                <w:rFonts w:ascii="Calibri" w:eastAsia="Calibri" w:hAnsi="Calibri" w:cs="Times New Roman"/>
                <w:b/>
              </w:rPr>
            </w:pPr>
          </w:p>
          <w:p w14:paraId="56E152F4" w14:textId="77777777" w:rsidR="0060041C" w:rsidRPr="0060041C" w:rsidRDefault="0060041C" w:rsidP="0060041C">
            <w:pPr>
              <w:ind w:left="0" w:firstLine="0"/>
            </w:pPr>
            <w:r w:rsidRPr="0060041C">
              <w:t>We will ensure that waste is managed sustainably by:</w:t>
            </w:r>
          </w:p>
          <w:p w14:paraId="1D383EBF" w14:textId="77777777" w:rsidR="0060041C" w:rsidRPr="0060041C" w:rsidRDefault="0060041C" w:rsidP="0096176F">
            <w:pPr>
              <w:pStyle w:val="ListParagraph"/>
              <w:numPr>
                <w:ilvl w:val="0"/>
                <w:numId w:val="18"/>
              </w:numPr>
            </w:pPr>
            <w:r w:rsidRPr="0060041C">
              <w:t>Managing our services to deliver continuous improvement in sustainability;</w:t>
            </w:r>
          </w:p>
          <w:p w14:paraId="11CBF2A4" w14:textId="188CA16A" w:rsidR="0060041C" w:rsidRPr="0060041C" w:rsidRDefault="0060041C" w:rsidP="0096176F">
            <w:pPr>
              <w:pStyle w:val="ListParagraph"/>
              <w:numPr>
                <w:ilvl w:val="0"/>
                <w:numId w:val="18"/>
              </w:numPr>
            </w:pPr>
            <w:r w:rsidRPr="0060041C">
              <w:t xml:space="preserve">Managing the Authority’s waste services in a safe, </w:t>
            </w:r>
            <w:r w:rsidRPr="0060041C">
              <w:lastRenderedPageBreak/>
              <w:t>efficient and cost</w:t>
            </w:r>
            <w:r w:rsidR="00CB264C">
              <w:t>-</w:t>
            </w:r>
            <w:r w:rsidRPr="0060041C">
              <w:t>effective manner</w:t>
            </w:r>
          </w:p>
          <w:p w14:paraId="58283B78" w14:textId="77777777" w:rsidR="00EF6323" w:rsidRPr="00191331" w:rsidRDefault="00EF6323" w:rsidP="00EF6323">
            <w:pPr>
              <w:jc w:val="center"/>
              <w:rPr>
                <w:b/>
              </w:rPr>
            </w:pPr>
          </w:p>
        </w:tc>
        <w:tc>
          <w:tcPr>
            <w:tcW w:w="3544" w:type="dxa"/>
          </w:tcPr>
          <w:p w14:paraId="1A7E45C9" w14:textId="77777777" w:rsidR="00EF6323" w:rsidRDefault="00EF6323" w:rsidP="00EF6323">
            <w:pPr>
              <w:rPr>
                <w:b/>
              </w:rPr>
            </w:pPr>
            <w:r>
              <w:rPr>
                <w:b/>
              </w:rPr>
              <w:lastRenderedPageBreak/>
              <w:t>Our Key Priorities in 202</w:t>
            </w:r>
            <w:r w:rsidR="007123C3">
              <w:rPr>
                <w:b/>
              </w:rPr>
              <w:t>1</w:t>
            </w:r>
            <w:r>
              <w:rPr>
                <w:b/>
              </w:rPr>
              <w:t>/</w:t>
            </w:r>
            <w:r w:rsidR="007123C3">
              <w:rPr>
                <w:b/>
              </w:rPr>
              <w:t>2</w:t>
            </w:r>
            <w:r>
              <w:rPr>
                <w:b/>
              </w:rPr>
              <w:t>1:</w:t>
            </w:r>
          </w:p>
          <w:p w14:paraId="7947E5AA" w14:textId="77777777" w:rsidR="00EF6323" w:rsidRDefault="00EF6323" w:rsidP="00EF6323">
            <w:pPr>
              <w:rPr>
                <w:b/>
              </w:rPr>
            </w:pPr>
          </w:p>
          <w:p w14:paraId="5642AD0F" w14:textId="77777777" w:rsidR="0060041C" w:rsidRPr="0060041C" w:rsidRDefault="0060041C" w:rsidP="0060041C">
            <w:r w:rsidRPr="0060041C">
              <w:t>We will do this by:</w:t>
            </w:r>
          </w:p>
          <w:p w14:paraId="56F5ED7E" w14:textId="77777777" w:rsidR="0060041C" w:rsidRPr="0060041C" w:rsidRDefault="0060041C" w:rsidP="0060041C">
            <w:r w:rsidRPr="0060041C">
              <w:t>•</w:t>
            </w:r>
            <w:r w:rsidRPr="0060041C">
              <w:tab/>
              <w:t>Considering how waste services can be best aligned to deliver climate change objectives; and</w:t>
            </w:r>
          </w:p>
          <w:p w14:paraId="33A4DAD5" w14:textId="77777777" w:rsidR="0060041C" w:rsidRPr="0060041C" w:rsidRDefault="0060041C" w:rsidP="0060041C">
            <w:r w:rsidRPr="0060041C">
              <w:t>•</w:t>
            </w:r>
            <w:r w:rsidRPr="0060041C">
              <w:tab/>
              <w:t>Work collaboratively to identify and deliver more impactful ways of working.</w:t>
            </w:r>
          </w:p>
          <w:p w14:paraId="566BF1F9" w14:textId="77777777" w:rsidR="00EF6323" w:rsidRPr="003932DB" w:rsidRDefault="00EF6323" w:rsidP="00EF6323">
            <w:pPr>
              <w:rPr>
                <w:b/>
              </w:rPr>
            </w:pPr>
          </w:p>
        </w:tc>
        <w:tc>
          <w:tcPr>
            <w:tcW w:w="3544" w:type="dxa"/>
          </w:tcPr>
          <w:p w14:paraId="062EBA12" w14:textId="77777777" w:rsidR="00EF6323" w:rsidRDefault="00EF6323" w:rsidP="00EF6323">
            <w:pPr>
              <w:rPr>
                <w:b/>
              </w:rPr>
            </w:pPr>
            <w:r>
              <w:rPr>
                <w:b/>
              </w:rPr>
              <w:t>Our Key Priorities in 202</w:t>
            </w:r>
            <w:r w:rsidR="007123C3">
              <w:rPr>
                <w:b/>
              </w:rPr>
              <w:t>1</w:t>
            </w:r>
            <w:r>
              <w:rPr>
                <w:b/>
              </w:rPr>
              <w:t>/2</w:t>
            </w:r>
            <w:r w:rsidR="007123C3">
              <w:rPr>
                <w:b/>
              </w:rPr>
              <w:t>2</w:t>
            </w:r>
            <w:r>
              <w:rPr>
                <w:b/>
              </w:rPr>
              <w:t xml:space="preserve">: </w:t>
            </w:r>
          </w:p>
          <w:p w14:paraId="49A50B7F" w14:textId="77777777" w:rsidR="00EF6323" w:rsidRDefault="00EF6323" w:rsidP="00EF6323">
            <w:pPr>
              <w:rPr>
                <w:b/>
              </w:rPr>
            </w:pPr>
          </w:p>
          <w:p w14:paraId="5BB6E180" w14:textId="77777777" w:rsidR="0060041C" w:rsidRPr="0060041C" w:rsidRDefault="0060041C" w:rsidP="0096176F">
            <w:pPr>
              <w:ind w:left="0" w:firstLine="0"/>
            </w:pPr>
            <w:r w:rsidRPr="0060041C">
              <w:t xml:space="preserve">We will measure the climate change impacts of waste and sustainability improvements and will report against the United Nations ‘Sustainable Development Goals’ (SDGs) as an additional part of our business management by: </w:t>
            </w:r>
          </w:p>
          <w:p w14:paraId="11F5C797" w14:textId="77777777" w:rsidR="0060041C" w:rsidRPr="0060041C" w:rsidRDefault="0060041C" w:rsidP="0060041C">
            <w:r w:rsidRPr="0060041C">
              <w:t>•</w:t>
            </w:r>
            <w:r w:rsidRPr="0060041C">
              <w:tab/>
              <w:t xml:space="preserve">Reducing the climate change impacts of waste </w:t>
            </w:r>
            <w:r w:rsidRPr="0060041C">
              <w:lastRenderedPageBreak/>
              <w:t>through a programme of reviewing, benchmarking and reporting;</w:t>
            </w:r>
          </w:p>
          <w:p w14:paraId="1CF6A866" w14:textId="77777777" w:rsidR="0060041C" w:rsidRPr="0060041C" w:rsidRDefault="0060041C" w:rsidP="0060041C">
            <w:r w:rsidRPr="0060041C">
              <w:t>•</w:t>
            </w:r>
            <w:r w:rsidRPr="0060041C">
              <w:tab/>
              <w:t>Establishing targets that stretch performance to bring improvements</w:t>
            </w:r>
          </w:p>
          <w:p w14:paraId="3DA721E7" w14:textId="77777777" w:rsidR="0060041C" w:rsidRPr="0060041C" w:rsidRDefault="0060041C" w:rsidP="0060041C">
            <w:r w:rsidRPr="0060041C">
              <w:t>•</w:t>
            </w:r>
            <w:r w:rsidRPr="0060041C">
              <w:tab/>
              <w:t>Reporting on all our activities openly and transparently</w:t>
            </w:r>
          </w:p>
          <w:p w14:paraId="4FCC7462" w14:textId="77777777" w:rsidR="0060041C" w:rsidRPr="0060041C" w:rsidRDefault="0060041C" w:rsidP="0060041C">
            <w:r w:rsidRPr="0060041C">
              <w:t>•</w:t>
            </w:r>
            <w:r w:rsidRPr="0060041C">
              <w:tab/>
              <w:t>Ensuring that our staff are deployed effectively and have opportunities to develop the new skills needed</w:t>
            </w:r>
          </w:p>
          <w:p w14:paraId="7199A8CB" w14:textId="77777777" w:rsidR="00EF6323" w:rsidRPr="00191331" w:rsidRDefault="00EF6323" w:rsidP="00EF6323">
            <w:pPr>
              <w:jc w:val="center"/>
              <w:rPr>
                <w:b/>
              </w:rPr>
            </w:pPr>
          </w:p>
        </w:tc>
      </w:tr>
    </w:tbl>
    <w:p w14:paraId="63CB8260" w14:textId="77777777" w:rsidR="005303AF" w:rsidRDefault="005303AF" w:rsidP="005303AF"/>
    <w:p w14:paraId="11557A3D" w14:textId="77777777" w:rsidR="005303AF" w:rsidRDefault="005303AF" w:rsidP="005303AF">
      <w:pPr>
        <w:rPr>
          <w:b/>
          <w:sz w:val="28"/>
          <w:szCs w:val="28"/>
        </w:rPr>
      </w:pPr>
      <w:r>
        <w:rPr>
          <w:b/>
          <w:sz w:val="28"/>
          <w:szCs w:val="28"/>
        </w:rPr>
        <w:br w:type="page"/>
      </w:r>
    </w:p>
    <w:p w14:paraId="173F3614" w14:textId="77777777" w:rsidR="005303AF" w:rsidRPr="00205745" w:rsidRDefault="005303AF" w:rsidP="005303AF">
      <w:pPr>
        <w:rPr>
          <w:b/>
          <w:sz w:val="28"/>
          <w:szCs w:val="28"/>
        </w:rPr>
      </w:pPr>
      <w:r w:rsidRPr="00205745">
        <w:rPr>
          <w:b/>
          <w:sz w:val="28"/>
          <w:szCs w:val="28"/>
        </w:rPr>
        <w:lastRenderedPageBreak/>
        <w:t xml:space="preserve">Assets </w:t>
      </w:r>
    </w:p>
    <w:p w14:paraId="6F0A4E6B" w14:textId="77777777" w:rsidR="005303AF" w:rsidRDefault="005303AF" w:rsidP="005303AF">
      <w:r>
        <w:t>The following is a summary of the key assets used to deliver the Authority’s priorities.</w:t>
      </w:r>
    </w:p>
    <w:tbl>
      <w:tblPr>
        <w:tblStyle w:val="TableGrid"/>
        <w:tblW w:w="0" w:type="auto"/>
        <w:tblLook w:val="04A0" w:firstRow="1" w:lastRow="0" w:firstColumn="1" w:lastColumn="0" w:noHBand="0" w:noVBand="1"/>
      </w:tblPr>
      <w:tblGrid>
        <w:gridCol w:w="3483"/>
        <w:gridCol w:w="3486"/>
        <w:gridCol w:w="3490"/>
        <w:gridCol w:w="3489"/>
      </w:tblGrid>
      <w:tr w:rsidR="0060041C" w14:paraId="2536DAEB" w14:textId="77777777" w:rsidTr="00CA6057">
        <w:tc>
          <w:tcPr>
            <w:tcW w:w="3543" w:type="dxa"/>
          </w:tcPr>
          <w:p w14:paraId="796F3EB4" w14:textId="77777777" w:rsidR="0060041C" w:rsidRDefault="0060041C" w:rsidP="00CA6057">
            <w:pPr>
              <w:rPr>
                <w:b/>
              </w:rPr>
            </w:pPr>
            <w:r>
              <w:rPr>
                <w:b/>
              </w:rPr>
              <w:t>Corporate Aim 1</w:t>
            </w:r>
          </w:p>
          <w:p w14:paraId="3BC56585" w14:textId="77777777" w:rsidR="0060041C" w:rsidRDefault="0060041C" w:rsidP="00CA6057">
            <w:pPr>
              <w:rPr>
                <w:b/>
              </w:rPr>
            </w:pPr>
          </w:p>
          <w:p w14:paraId="1ED468F9" w14:textId="77777777" w:rsidR="0060041C" w:rsidRDefault="0060041C" w:rsidP="00CA6057">
            <w:pPr>
              <w:ind w:left="0" w:firstLine="0"/>
              <w:rPr>
                <w:b/>
              </w:rPr>
            </w:pPr>
            <w:r>
              <w:rPr>
                <w:b/>
              </w:rPr>
              <w:t>IMPROVE THE SUSTAINABLE MANAGEMENT OF WASTE AND RESOURCE</w:t>
            </w:r>
          </w:p>
        </w:tc>
        <w:tc>
          <w:tcPr>
            <w:tcW w:w="3543" w:type="dxa"/>
          </w:tcPr>
          <w:p w14:paraId="55CBE123" w14:textId="77777777" w:rsidR="0060041C" w:rsidRDefault="0060041C" w:rsidP="00CA6057">
            <w:pPr>
              <w:rPr>
                <w:rFonts w:ascii="Calibri" w:eastAsia="Calibri" w:hAnsi="Calibri" w:cs="Times New Roman"/>
                <w:b/>
              </w:rPr>
            </w:pPr>
            <w:r>
              <w:rPr>
                <w:rFonts w:ascii="Calibri" w:eastAsia="Calibri" w:hAnsi="Calibri" w:cs="Times New Roman"/>
                <w:b/>
              </w:rPr>
              <w:t>Corporate aim 2</w:t>
            </w:r>
          </w:p>
          <w:p w14:paraId="0988DCE7" w14:textId="77777777" w:rsidR="0060041C" w:rsidRDefault="0060041C" w:rsidP="00CA6057">
            <w:pPr>
              <w:rPr>
                <w:rFonts w:ascii="Calibri" w:eastAsia="Calibri" w:hAnsi="Calibri" w:cs="Times New Roman"/>
                <w:b/>
              </w:rPr>
            </w:pPr>
          </w:p>
          <w:p w14:paraId="628F2D95" w14:textId="77777777" w:rsidR="0060041C" w:rsidRDefault="0060041C" w:rsidP="00CA6057">
            <w:pPr>
              <w:ind w:left="0" w:firstLine="0"/>
              <w:rPr>
                <w:rFonts w:ascii="Calibri" w:eastAsia="Calibri" w:hAnsi="Calibri" w:cs="Times New Roman"/>
                <w:b/>
              </w:rPr>
            </w:pPr>
            <w:r>
              <w:rPr>
                <w:rFonts w:ascii="Calibri" w:eastAsia="Calibri" w:hAnsi="Calibri" w:cs="Times New Roman"/>
                <w:b/>
              </w:rPr>
              <w:t>WE WILL DELIVER EFFECTIVE WASTE SERVICES</w:t>
            </w:r>
          </w:p>
        </w:tc>
        <w:tc>
          <w:tcPr>
            <w:tcW w:w="3544" w:type="dxa"/>
          </w:tcPr>
          <w:p w14:paraId="29D498A7" w14:textId="77777777" w:rsidR="0060041C" w:rsidRDefault="0060041C" w:rsidP="00CA6057">
            <w:pPr>
              <w:ind w:left="0" w:firstLine="0"/>
              <w:rPr>
                <w:b/>
              </w:rPr>
            </w:pPr>
            <w:r>
              <w:rPr>
                <w:b/>
              </w:rPr>
              <w:t>Corporate aim 3</w:t>
            </w:r>
          </w:p>
          <w:p w14:paraId="5BF10B3E" w14:textId="77777777" w:rsidR="0060041C" w:rsidRDefault="0060041C" w:rsidP="00CA6057">
            <w:pPr>
              <w:ind w:left="0" w:firstLine="0"/>
              <w:rPr>
                <w:b/>
              </w:rPr>
            </w:pPr>
          </w:p>
          <w:p w14:paraId="49493BCA" w14:textId="77777777" w:rsidR="0060041C" w:rsidRDefault="0060041C" w:rsidP="00CA6057">
            <w:pPr>
              <w:ind w:left="0" w:firstLine="0"/>
              <w:rPr>
                <w:b/>
              </w:rPr>
            </w:pPr>
            <w:r>
              <w:rPr>
                <w:b/>
              </w:rPr>
              <w:t>CO-OPERATE TO IMPR</w:t>
            </w:r>
            <w:r w:rsidR="0096176F">
              <w:rPr>
                <w:b/>
              </w:rPr>
              <w:t>O</w:t>
            </w:r>
            <w:r>
              <w:rPr>
                <w:b/>
              </w:rPr>
              <w:t>VE WORKING ARRANGEMENTS</w:t>
            </w:r>
          </w:p>
        </w:tc>
        <w:tc>
          <w:tcPr>
            <w:tcW w:w="3544" w:type="dxa"/>
          </w:tcPr>
          <w:p w14:paraId="19878E4D" w14:textId="77777777" w:rsidR="0060041C" w:rsidRDefault="0060041C" w:rsidP="00CA6057">
            <w:pPr>
              <w:rPr>
                <w:b/>
              </w:rPr>
            </w:pPr>
            <w:r>
              <w:rPr>
                <w:b/>
              </w:rPr>
              <w:t>Corporate aim 4</w:t>
            </w:r>
          </w:p>
          <w:p w14:paraId="006AD241" w14:textId="77777777" w:rsidR="0060041C" w:rsidRDefault="0060041C" w:rsidP="00CA6057">
            <w:pPr>
              <w:rPr>
                <w:b/>
              </w:rPr>
            </w:pPr>
          </w:p>
          <w:p w14:paraId="1D10B685" w14:textId="77777777" w:rsidR="0060041C" w:rsidRDefault="0060041C" w:rsidP="00CA6057">
            <w:pPr>
              <w:ind w:left="0" w:firstLine="0"/>
              <w:rPr>
                <w:b/>
              </w:rPr>
            </w:pPr>
            <w:r>
              <w:rPr>
                <w:b/>
              </w:rPr>
              <w:t>MEASURE AND REPORT ON CLIMATE CHANGE IMPACTS AND SUSTAINABILITY IMPROVEMENTS</w:t>
            </w:r>
          </w:p>
        </w:tc>
      </w:tr>
      <w:tr w:rsidR="00EF6323" w:rsidRPr="00191331" w14:paraId="63D7EF27" w14:textId="77777777" w:rsidTr="00CA6057">
        <w:tc>
          <w:tcPr>
            <w:tcW w:w="3543" w:type="dxa"/>
          </w:tcPr>
          <w:p w14:paraId="44793D1A" w14:textId="77777777" w:rsidR="00EF6323" w:rsidRPr="0096176F" w:rsidRDefault="00EF6323" w:rsidP="00EF6323">
            <w:pPr>
              <w:ind w:left="0" w:firstLine="0"/>
              <w:rPr>
                <w:b/>
              </w:rPr>
            </w:pPr>
            <w:r w:rsidRPr="0096176F">
              <w:rPr>
                <w:b/>
              </w:rPr>
              <w:t>Closed Landfill sites</w:t>
            </w:r>
          </w:p>
          <w:p w14:paraId="7A29FAD3" w14:textId="77777777" w:rsidR="00EF6323" w:rsidRPr="0096176F" w:rsidRDefault="00EF6323" w:rsidP="00EF6323">
            <w:pPr>
              <w:ind w:left="0" w:firstLine="0"/>
            </w:pPr>
          </w:p>
          <w:p w14:paraId="37887A39" w14:textId="77777777" w:rsidR="00EF6323" w:rsidRDefault="00EF6323" w:rsidP="00EF6323">
            <w:pPr>
              <w:ind w:left="0" w:firstLine="0"/>
            </w:pPr>
            <w:r w:rsidRPr="0096176F">
              <w:t>Seven former landfill sites are monitored and managed by the Authority to ensure that they are safe and managed well within the parameters set by permits and the Environment Agency and United Utilities (the regulators).</w:t>
            </w:r>
            <w:r w:rsidR="0096176F">
              <w:t xml:space="preserve"> </w:t>
            </w:r>
          </w:p>
          <w:p w14:paraId="09C5A311" w14:textId="77777777" w:rsidR="0096176F" w:rsidRDefault="0096176F" w:rsidP="00EF6323">
            <w:pPr>
              <w:ind w:left="0" w:firstLine="0"/>
            </w:pPr>
          </w:p>
          <w:p w14:paraId="7E0D8C27" w14:textId="77777777" w:rsidR="00EF6323" w:rsidRPr="0096176F" w:rsidRDefault="00EF6323" w:rsidP="0096176F">
            <w:pPr>
              <w:ind w:left="0" w:firstLine="0"/>
            </w:pPr>
          </w:p>
        </w:tc>
        <w:tc>
          <w:tcPr>
            <w:tcW w:w="3543" w:type="dxa"/>
          </w:tcPr>
          <w:p w14:paraId="68C6B139" w14:textId="77777777" w:rsidR="00EF6323" w:rsidRPr="0096176F" w:rsidRDefault="00EF6323" w:rsidP="00EF6323">
            <w:pPr>
              <w:ind w:left="0" w:firstLine="0"/>
              <w:rPr>
                <w:b/>
              </w:rPr>
            </w:pPr>
            <w:r w:rsidRPr="0096176F">
              <w:rPr>
                <w:b/>
              </w:rPr>
              <w:t>RRC Contract</w:t>
            </w:r>
          </w:p>
          <w:p w14:paraId="2989B7B1" w14:textId="77777777" w:rsidR="00EF6323" w:rsidRPr="0096176F" w:rsidRDefault="00EF6323" w:rsidP="00EF6323">
            <w:pPr>
              <w:ind w:left="0" w:firstLine="0"/>
            </w:pPr>
          </w:p>
          <w:p w14:paraId="2358CEEE" w14:textId="77777777" w:rsidR="00EF6323" w:rsidRPr="0096176F" w:rsidRDefault="00EF6323" w:rsidP="00EF6323">
            <w:pPr>
              <w:ind w:left="0" w:firstLine="0"/>
            </w:pPr>
            <w:r w:rsidRPr="0096176F">
              <w:t>The Energy from Waste Plant at Wilton 11 in Redcar</w:t>
            </w:r>
          </w:p>
          <w:p w14:paraId="21073AD5" w14:textId="77777777" w:rsidR="00EF6323" w:rsidRPr="0096176F" w:rsidRDefault="00EF6323" w:rsidP="00EF6323">
            <w:pPr>
              <w:ind w:left="0" w:firstLine="0"/>
            </w:pPr>
            <w:r w:rsidRPr="0096176F">
              <w:t>The Rail Transfer Loading Station at Kirkby in Knowsley</w:t>
            </w:r>
          </w:p>
          <w:p w14:paraId="2D68C3F6" w14:textId="77777777" w:rsidR="00EF6323" w:rsidRPr="0096176F" w:rsidRDefault="00EF6323" w:rsidP="00EF6323">
            <w:pPr>
              <w:ind w:left="0" w:firstLine="0"/>
            </w:pPr>
            <w:r w:rsidRPr="0096176F">
              <w:t>Including for both: the land, buildings, plant and machinery and equipment used to support the contract.</w:t>
            </w:r>
          </w:p>
          <w:p w14:paraId="27329241" w14:textId="77777777" w:rsidR="00EF6323" w:rsidRPr="0096176F" w:rsidRDefault="00EF6323" w:rsidP="00EF6323">
            <w:pPr>
              <w:ind w:left="0" w:firstLine="0"/>
            </w:pPr>
          </w:p>
          <w:p w14:paraId="5A2191F1" w14:textId="77777777" w:rsidR="00EF6323" w:rsidRPr="0096176F" w:rsidRDefault="00EF6323" w:rsidP="00EF6323">
            <w:pPr>
              <w:ind w:left="0" w:firstLine="0"/>
              <w:rPr>
                <w:b/>
              </w:rPr>
            </w:pPr>
            <w:r w:rsidRPr="0096176F">
              <w:rPr>
                <w:b/>
              </w:rPr>
              <w:t>WMRC contract</w:t>
            </w:r>
          </w:p>
          <w:p w14:paraId="54E8AB95" w14:textId="77777777" w:rsidR="00EF6323" w:rsidRPr="0096176F" w:rsidRDefault="00EF6323" w:rsidP="00EF6323">
            <w:pPr>
              <w:ind w:left="0" w:firstLine="0"/>
            </w:pPr>
          </w:p>
          <w:p w14:paraId="7D0B5595" w14:textId="77777777" w:rsidR="00EF6323" w:rsidRPr="0096176F" w:rsidRDefault="00EF6323" w:rsidP="00EF6323">
            <w:pPr>
              <w:ind w:left="0" w:firstLine="0"/>
            </w:pPr>
            <w:r w:rsidRPr="0096176F">
              <w:t>The two Materials Recycling Facilities on Merseyside</w:t>
            </w:r>
          </w:p>
          <w:p w14:paraId="36DF28E5" w14:textId="77777777" w:rsidR="00EF6323" w:rsidRPr="0096176F" w:rsidRDefault="00EF6323" w:rsidP="00EF6323">
            <w:pPr>
              <w:ind w:left="0" w:firstLine="0"/>
            </w:pPr>
            <w:r w:rsidRPr="0096176F">
              <w:t>The network of 14 Household Waste Recycling Centres on Merseyside.</w:t>
            </w:r>
          </w:p>
          <w:p w14:paraId="2A30A518" w14:textId="77777777" w:rsidR="00EF6323" w:rsidRPr="0096176F" w:rsidRDefault="00EF6323" w:rsidP="00EF6323">
            <w:pPr>
              <w:ind w:left="0" w:firstLine="0"/>
            </w:pPr>
            <w:r w:rsidRPr="0096176F">
              <w:t>The Waste Transfer stations on Merseyside.</w:t>
            </w:r>
          </w:p>
          <w:p w14:paraId="273A63A2" w14:textId="77777777" w:rsidR="00EF6323" w:rsidRPr="0096176F" w:rsidRDefault="00EF6323" w:rsidP="00EF6323">
            <w:pPr>
              <w:ind w:left="0" w:firstLine="0"/>
            </w:pPr>
            <w:r w:rsidRPr="0096176F">
              <w:t>Including for all: the land, buildings, plant and machinery and equipment used to support the contract.</w:t>
            </w:r>
          </w:p>
          <w:p w14:paraId="060D167F" w14:textId="77777777" w:rsidR="00EF6323" w:rsidRPr="0096176F" w:rsidRDefault="00EF6323" w:rsidP="00EF6323">
            <w:pPr>
              <w:ind w:left="0" w:firstLine="0"/>
            </w:pPr>
          </w:p>
          <w:p w14:paraId="3F24B50B" w14:textId="77777777" w:rsidR="00EF6323" w:rsidRPr="0096176F" w:rsidRDefault="00EF6323" w:rsidP="00EF6323">
            <w:pPr>
              <w:ind w:left="0" w:firstLine="0"/>
              <w:rPr>
                <w:b/>
              </w:rPr>
            </w:pPr>
            <w:r w:rsidRPr="0096176F">
              <w:rPr>
                <w:b/>
              </w:rPr>
              <w:t>Office accommodation</w:t>
            </w:r>
          </w:p>
          <w:p w14:paraId="7E423598" w14:textId="77777777" w:rsidR="00EF6323" w:rsidRPr="0096176F" w:rsidRDefault="00EF6323" w:rsidP="00EF6323">
            <w:pPr>
              <w:ind w:left="0" w:firstLine="0"/>
            </w:pPr>
          </w:p>
          <w:p w14:paraId="4D0EF6D0" w14:textId="66192291" w:rsidR="00EF6323" w:rsidRDefault="00EF6323" w:rsidP="00EF6323">
            <w:pPr>
              <w:ind w:left="0" w:firstLine="0"/>
            </w:pPr>
            <w:r w:rsidRPr="0096176F">
              <w:t xml:space="preserve">The Office space at Mann Island is leased from a third party. This includes some but not </w:t>
            </w:r>
            <w:proofErr w:type="gramStart"/>
            <w:r w:rsidRPr="0096176F">
              <w:t>all of</w:t>
            </w:r>
            <w:proofErr w:type="gramEnd"/>
            <w:r w:rsidRPr="0096176F">
              <w:t xml:space="preserve"> the fixtures and fittings (i.e. desks and office furniture is MRWA’s, ICT assets are leased).</w:t>
            </w:r>
          </w:p>
          <w:p w14:paraId="521F674C" w14:textId="77777777" w:rsidR="006A667B" w:rsidRPr="0096176F" w:rsidRDefault="006A667B" w:rsidP="00EF6323">
            <w:pPr>
              <w:ind w:left="0" w:firstLine="0"/>
            </w:pPr>
            <w:r>
              <w:t xml:space="preserve">The office has been adapted to enable </w:t>
            </w:r>
            <w:proofErr w:type="spellStart"/>
            <w:r>
              <w:t>Covid</w:t>
            </w:r>
            <w:proofErr w:type="spellEnd"/>
            <w:r>
              <w:t xml:space="preserve"> safe working for those staff who are required to work in the office from time to time</w:t>
            </w:r>
          </w:p>
        </w:tc>
        <w:tc>
          <w:tcPr>
            <w:tcW w:w="3544" w:type="dxa"/>
          </w:tcPr>
          <w:p w14:paraId="19CAB15E" w14:textId="77777777" w:rsidR="00EF6323" w:rsidRPr="0096176F" w:rsidRDefault="00EF6323" w:rsidP="00EF6323">
            <w:pPr>
              <w:ind w:left="0" w:firstLine="0"/>
            </w:pPr>
          </w:p>
        </w:tc>
        <w:tc>
          <w:tcPr>
            <w:tcW w:w="3544" w:type="dxa"/>
          </w:tcPr>
          <w:p w14:paraId="10032610" w14:textId="77777777" w:rsidR="00EF6323" w:rsidRPr="0096176F" w:rsidRDefault="00EF6323" w:rsidP="00EF6323">
            <w:pPr>
              <w:ind w:left="0" w:firstLine="0"/>
            </w:pPr>
          </w:p>
        </w:tc>
      </w:tr>
    </w:tbl>
    <w:p w14:paraId="6DFEA5F9" w14:textId="77777777" w:rsidR="005303AF" w:rsidRDefault="005303AF" w:rsidP="005303AF"/>
    <w:p w14:paraId="5D32367E" w14:textId="77777777" w:rsidR="005303AF" w:rsidRDefault="005303AF" w:rsidP="005303AF">
      <w:pPr>
        <w:rPr>
          <w:b/>
          <w:sz w:val="28"/>
          <w:szCs w:val="28"/>
        </w:rPr>
      </w:pPr>
      <w:r>
        <w:rPr>
          <w:b/>
          <w:sz w:val="28"/>
          <w:szCs w:val="28"/>
        </w:rPr>
        <w:br w:type="page"/>
      </w:r>
    </w:p>
    <w:p w14:paraId="6A61757C" w14:textId="77777777" w:rsidR="005303AF" w:rsidRPr="00205745" w:rsidRDefault="005303AF" w:rsidP="005303AF">
      <w:pPr>
        <w:rPr>
          <w:b/>
          <w:sz w:val="28"/>
          <w:szCs w:val="28"/>
        </w:rPr>
      </w:pPr>
      <w:r>
        <w:rPr>
          <w:b/>
          <w:sz w:val="28"/>
          <w:szCs w:val="28"/>
        </w:rPr>
        <w:lastRenderedPageBreak/>
        <w:t>Management and Maintenance</w:t>
      </w:r>
      <w:r w:rsidRPr="00205745">
        <w:rPr>
          <w:b/>
          <w:sz w:val="28"/>
          <w:szCs w:val="28"/>
        </w:rPr>
        <w:t xml:space="preserve"> </w:t>
      </w:r>
    </w:p>
    <w:p w14:paraId="37E4FD99" w14:textId="77777777" w:rsidR="005303AF" w:rsidRDefault="005303AF" w:rsidP="005303AF">
      <w:r>
        <w:t>The following is a summary of the responsibility for the management and maintenance of the key assets used to deliver the Authority’s priorities.</w:t>
      </w:r>
    </w:p>
    <w:tbl>
      <w:tblPr>
        <w:tblStyle w:val="TableGrid"/>
        <w:tblW w:w="0" w:type="auto"/>
        <w:tblLook w:val="04A0" w:firstRow="1" w:lastRow="0" w:firstColumn="1" w:lastColumn="0" w:noHBand="0" w:noVBand="1"/>
      </w:tblPr>
      <w:tblGrid>
        <w:gridCol w:w="3484"/>
        <w:gridCol w:w="3487"/>
        <w:gridCol w:w="3489"/>
        <w:gridCol w:w="3488"/>
      </w:tblGrid>
      <w:tr w:rsidR="0060041C" w14:paraId="780A7EFF" w14:textId="77777777" w:rsidTr="00CA6057">
        <w:tc>
          <w:tcPr>
            <w:tcW w:w="3543" w:type="dxa"/>
          </w:tcPr>
          <w:p w14:paraId="66E1B178" w14:textId="77777777" w:rsidR="0060041C" w:rsidRDefault="0060041C" w:rsidP="00CA6057">
            <w:pPr>
              <w:rPr>
                <w:b/>
              </w:rPr>
            </w:pPr>
            <w:r>
              <w:rPr>
                <w:b/>
              </w:rPr>
              <w:t>Corporate Aim 1</w:t>
            </w:r>
          </w:p>
          <w:p w14:paraId="7B622F18" w14:textId="77777777" w:rsidR="0060041C" w:rsidRDefault="0060041C" w:rsidP="00CA6057">
            <w:pPr>
              <w:rPr>
                <w:b/>
              </w:rPr>
            </w:pPr>
          </w:p>
          <w:p w14:paraId="00B59825" w14:textId="77777777" w:rsidR="0060041C" w:rsidRDefault="0060041C" w:rsidP="00CA6057">
            <w:pPr>
              <w:ind w:left="0" w:firstLine="0"/>
              <w:rPr>
                <w:b/>
              </w:rPr>
            </w:pPr>
            <w:r>
              <w:rPr>
                <w:b/>
              </w:rPr>
              <w:t>IMPROVE THE SUSTAINABLE MANAGEMENT OF WASTE AND RESOURCE</w:t>
            </w:r>
          </w:p>
        </w:tc>
        <w:tc>
          <w:tcPr>
            <w:tcW w:w="3543" w:type="dxa"/>
          </w:tcPr>
          <w:p w14:paraId="519A709F" w14:textId="77777777" w:rsidR="0060041C" w:rsidRDefault="0060041C" w:rsidP="00CA6057">
            <w:pPr>
              <w:rPr>
                <w:rFonts w:ascii="Calibri" w:eastAsia="Calibri" w:hAnsi="Calibri" w:cs="Times New Roman"/>
                <w:b/>
              </w:rPr>
            </w:pPr>
            <w:r>
              <w:rPr>
                <w:rFonts w:ascii="Calibri" w:eastAsia="Calibri" w:hAnsi="Calibri" w:cs="Times New Roman"/>
                <w:b/>
              </w:rPr>
              <w:t>Corporate aim 2</w:t>
            </w:r>
          </w:p>
          <w:p w14:paraId="2CDF71E9" w14:textId="77777777" w:rsidR="0060041C" w:rsidRDefault="0060041C" w:rsidP="00CA6057">
            <w:pPr>
              <w:rPr>
                <w:rFonts w:ascii="Calibri" w:eastAsia="Calibri" w:hAnsi="Calibri" w:cs="Times New Roman"/>
                <w:b/>
              </w:rPr>
            </w:pPr>
          </w:p>
          <w:p w14:paraId="1321B709" w14:textId="77777777" w:rsidR="0060041C" w:rsidRDefault="0060041C" w:rsidP="00CA6057">
            <w:pPr>
              <w:ind w:left="0" w:firstLine="0"/>
              <w:rPr>
                <w:rFonts w:ascii="Calibri" w:eastAsia="Calibri" w:hAnsi="Calibri" w:cs="Times New Roman"/>
                <w:b/>
              </w:rPr>
            </w:pPr>
            <w:r>
              <w:rPr>
                <w:rFonts w:ascii="Calibri" w:eastAsia="Calibri" w:hAnsi="Calibri" w:cs="Times New Roman"/>
                <w:b/>
              </w:rPr>
              <w:t>WE WILL DELIVER EFFECTIVE WASTE SERVICES</w:t>
            </w:r>
          </w:p>
        </w:tc>
        <w:tc>
          <w:tcPr>
            <w:tcW w:w="3544" w:type="dxa"/>
          </w:tcPr>
          <w:p w14:paraId="0F77A160" w14:textId="77777777" w:rsidR="0060041C" w:rsidRDefault="0060041C" w:rsidP="00CA6057">
            <w:pPr>
              <w:ind w:left="0" w:firstLine="0"/>
              <w:rPr>
                <w:b/>
              </w:rPr>
            </w:pPr>
            <w:r>
              <w:rPr>
                <w:b/>
              </w:rPr>
              <w:t>Corporate aim 3</w:t>
            </w:r>
          </w:p>
          <w:p w14:paraId="7B768FD3" w14:textId="77777777" w:rsidR="0060041C" w:rsidRDefault="0060041C" w:rsidP="00CA6057">
            <w:pPr>
              <w:ind w:left="0" w:firstLine="0"/>
              <w:rPr>
                <w:b/>
              </w:rPr>
            </w:pPr>
          </w:p>
          <w:p w14:paraId="0E789B73" w14:textId="4361C708" w:rsidR="0060041C" w:rsidRDefault="0060041C" w:rsidP="00CA6057">
            <w:pPr>
              <w:ind w:left="0" w:firstLine="0"/>
              <w:rPr>
                <w:b/>
              </w:rPr>
            </w:pPr>
            <w:r>
              <w:rPr>
                <w:b/>
              </w:rPr>
              <w:t>CO-OPERATE TO IMPR</w:t>
            </w:r>
            <w:r w:rsidR="00CB264C">
              <w:rPr>
                <w:b/>
              </w:rPr>
              <w:t>O</w:t>
            </w:r>
            <w:r>
              <w:rPr>
                <w:b/>
              </w:rPr>
              <w:t>VE WORKING ARRANGEMENTS</w:t>
            </w:r>
          </w:p>
        </w:tc>
        <w:tc>
          <w:tcPr>
            <w:tcW w:w="3544" w:type="dxa"/>
          </w:tcPr>
          <w:p w14:paraId="43F03FC0" w14:textId="77777777" w:rsidR="0060041C" w:rsidRDefault="0060041C" w:rsidP="00CA6057">
            <w:pPr>
              <w:rPr>
                <w:b/>
              </w:rPr>
            </w:pPr>
            <w:r>
              <w:rPr>
                <w:b/>
              </w:rPr>
              <w:t>Corporate aim 4</w:t>
            </w:r>
          </w:p>
          <w:p w14:paraId="72CA92B2" w14:textId="77777777" w:rsidR="0060041C" w:rsidRDefault="0060041C" w:rsidP="00CA6057">
            <w:pPr>
              <w:rPr>
                <w:b/>
              </w:rPr>
            </w:pPr>
          </w:p>
          <w:p w14:paraId="606AB0B8" w14:textId="77777777" w:rsidR="0060041C" w:rsidRDefault="0060041C" w:rsidP="00CA6057">
            <w:pPr>
              <w:ind w:left="0" w:firstLine="0"/>
              <w:rPr>
                <w:b/>
              </w:rPr>
            </w:pPr>
            <w:r>
              <w:rPr>
                <w:b/>
              </w:rPr>
              <w:t>MEASURE AND REPORT ON CLIMATE CHANGE IMPACTS AND SUSTAINABILITY IMPROVEMENTS</w:t>
            </w:r>
          </w:p>
        </w:tc>
      </w:tr>
      <w:tr w:rsidR="00EF6323" w:rsidRPr="00191331" w14:paraId="3FCCF048" w14:textId="77777777" w:rsidTr="00CA6057">
        <w:tc>
          <w:tcPr>
            <w:tcW w:w="3543" w:type="dxa"/>
          </w:tcPr>
          <w:p w14:paraId="45B6FC04" w14:textId="77777777" w:rsidR="00EF6323" w:rsidRPr="0096176F" w:rsidRDefault="00EF6323" w:rsidP="00EF6323">
            <w:pPr>
              <w:ind w:left="0" w:firstLine="0"/>
              <w:rPr>
                <w:b/>
              </w:rPr>
            </w:pPr>
            <w:r w:rsidRPr="0096176F">
              <w:rPr>
                <w:b/>
              </w:rPr>
              <w:t>Closed Landfill sites</w:t>
            </w:r>
          </w:p>
          <w:p w14:paraId="17EEF734" w14:textId="77777777" w:rsidR="00EF6323" w:rsidRPr="0096176F" w:rsidRDefault="00EF6323" w:rsidP="00EF6323">
            <w:pPr>
              <w:ind w:left="0" w:firstLine="0"/>
            </w:pPr>
          </w:p>
          <w:p w14:paraId="458E3FE3" w14:textId="77777777" w:rsidR="00EF6323" w:rsidRPr="0096176F" w:rsidRDefault="00EF6323" w:rsidP="00EF6323">
            <w:pPr>
              <w:ind w:left="0" w:firstLine="0"/>
            </w:pPr>
            <w:r w:rsidRPr="0096176F">
              <w:t xml:space="preserve">MRWA are responsible for managing the former landfill costs for the whole for their remaining lives. This includes the costs of ensuring leachate and gas emissions are managed within permitted levels. </w:t>
            </w:r>
          </w:p>
          <w:p w14:paraId="7D35B191" w14:textId="77777777" w:rsidR="00EF6323" w:rsidRPr="0096176F" w:rsidRDefault="00EF6323" w:rsidP="00EF6323">
            <w:pPr>
              <w:ind w:left="0" w:firstLine="0"/>
            </w:pPr>
          </w:p>
          <w:p w14:paraId="0FE9FA2B" w14:textId="77777777" w:rsidR="00EF6323" w:rsidRPr="0096176F" w:rsidRDefault="00EF6323" w:rsidP="00EF6323">
            <w:pPr>
              <w:ind w:left="0" w:firstLine="0"/>
            </w:pPr>
            <w:r w:rsidRPr="0096176F">
              <w:t>At two of the sites, Bidston and Billinge the responsibility for gas management is shared with a third party (</w:t>
            </w:r>
            <w:proofErr w:type="spellStart"/>
            <w:r w:rsidRPr="0096176F">
              <w:t>Infinis</w:t>
            </w:r>
            <w:proofErr w:type="spellEnd"/>
            <w:r w:rsidRPr="0096176F">
              <w:t>) through a joint venture company, Bidston Methane Ltd.</w:t>
            </w:r>
            <w:r w:rsidR="006A667B">
              <w:t xml:space="preserve"> We are working with </w:t>
            </w:r>
            <w:proofErr w:type="spellStart"/>
            <w:r w:rsidR="006A667B">
              <w:t>Infinis</w:t>
            </w:r>
            <w:proofErr w:type="spellEnd"/>
            <w:r w:rsidR="006A667B">
              <w:t xml:space="preserve"> to dissolve the company as gas production is so low that it can be managed going forward without </w:t>
            </w:r>
            <w:proofErr w:type="gramStart"/>
            <w:r w:rsidR="006A667B">
              <w:t>a</w:t>
            </w:r>
            <w:proofErr w:type="gramEnd"/>
            <w:r w:rsidR="006A667B">
              <w:t xml:space="preserve"> electricity generator, either by flare or by natural dispersion of the very small amounts of gas produced</w:t>
            </w:r>
          </w:p>
          <w:p w14:paraId="1E2F0C14" w14:textId="77777777" w:rsidR="00EF6323" w:rsidRPr="0096176F" w:rsidRDefault="00EF6323" w:rsidP="00EF6323">
            <w:pPr>
              <w:ind w:left="0" w:firstLine="0"/>
            </w:pPr>
          </w:p>
        </w:tc>
        <w:tc>
          <w:tcPr>
            <w:tcW w:w="3543" w:type="dxa"/>
          </w:tcPr>
          <w:p w14:paraId="0DEF278C" w14:textId="77777777" w:rsidR="00EF6323" w:rsidRPr="0096176F" w:rsidRDefault="00EF6323" w:rsidP="00EF6323">
            <w:pPr>
              <w:ind w:left="0" w:firstLine="0"/>
              <w:rPr>
                <w:b/>
              </w:rPr>
            </w:pPr>
            <w:r w:rsidRPr="0096176F">
              <w:rPr>
                <w:b/>
              </w:rPr>
              <w:t>RRC Contract</w:t>
            </w:r>
          </w:p>
          <w:p w14:paraId="2ACCD5E4" w14:textId="77777777" w:rsidR="00EF6323" w:rsidRPr="0096176F" w:rsidRDefault="00EF6323" w:rsidP="00EF6323">
            <w:pPr>
              <w:ind w:left="0" w:firstLine="0"/>
            </w:pPr>
          </w:p>
          <w:p w14:paraId="0F364FDE" w14:textId="77777777" w:rsidR="00EF6323" w:rsidRPr="0096176F" w:rsidRDefault="00EF6323" w:rsidP="00EF6323">
            <w:pPr>
              <w:ind w:left="0" w:firstLine="0"/>
            </w:pPr>
            <w:r w:rsidRPr="0096176F">
              <w:t xml:space="preserve">The responsibility for management and maintenance of the Wilton and Kirkby facilities and associated assets lies with the contractor Merseyside Energy Recovery Ltd (MERL) under the terms of the contract. </w:t>
            </w:r>
          </w:p>
          <w:p w14:paraId="31A2A86E" w14:textId="77777777" w:rsidR="00EF6323" w:rsidRPr="0096176F" w:rsidRDefault="00EF6323" w:rsidP="00EF6323">
            <w:pPr>
              <w:ind w:left="0" w:firstLine="0"/>
            </w:pPr>
          </w:p>
          <w:p w14:paraId="482440F4" w14:textId="77777777" w:rsidR="00EF6323" w:rsidRPr="0096176F" w:rsidRDefault="00EF6323" w:rsidP="00EF6323">
            <w:pPr>
              <w:ind w:left="0" w:firstLine="0"/>
            </w:pPr>
            <w:r w:rsidRPr="0096176F">
              <w:t xml:space="preserve">MERL is required to maintain the assets so that they are capable of operating effectively for the life of the contract, with the prospect of a </w:t>
            </w:r>
            <w:proofErr w:type="gramStart"/>
            <w:r w:rsidRPr="0096176F">
              <w:t>five year</w:t>
            </w:r>
            <w:proofErr w:type="gramEnd"/>
            <w:r w:rsidRPr="0096176F">
              <w:t xml:space="preserve"> extension at the end.</w:t>
            </w:r>
          </w:p>
          <w:p w14:paraId="31DCA4F0" w14:textId="77777777" w:rsidR="00EF6323" w:rsidRPr="0096176F" w:rsidRDefault="00EF6323" w:rsidP="00EF6323">
            <w:pPr>
              <w:ind w:left="0" w:firstLine="0"/>
            </w:pPr>
          </w:p>
          <w:p w14:paraId="78B04BEC" w14:textId="77777777" w:rsidR="00EF6323" w:rsidRPr="0096176F" w:rsidRDefault="00EF6323" w:rsidP="00EF6323">
            <w:pPr>
              <w:ind w:left="0" w:firstLine="0"/>
            </w:pPr>
            <w:r w:rsidRPr="0096176F">
              <w:t>Should there be any substantial legislative change this would not be altered, although MRWA would pay for the change.</w:t>
            </w:r>
          </w:p>
          <w:p w14:paraId="1E5D9A8B" w14:textId="77777777" w:rsidR="00EF6323" w:rsidRPr="0096176F" w:rsidRDefault="00EF6323" w:rsidP="00EF6323">
            <w:pPr>
              <w:ind w:left="0" w:firstLine="0"/>
            </w:pPr>
          </w:p>
          <w:p w14:paraId="07FE7914" w14:textId="77777777" w:rsidR="00EF6323" w:rsidRPr="0096176F" w:rsidRDefault="00EF6323" w:rsidP="00EF6323">
            <w:pPr>
              <w:ind w:left="0" w:firstLine="0"/>
              <w:rPr>
                <w:b/>
              </w:rPr>
            </w:pPr>
            <w:r w:rsidRPr="0096176F">
              <w:rPr>
                <w:b/>
              </w:rPr>
              <w:t>WMRC contract</w:t>
            </w:r>
          </w:p>
          <w:p w14:paraId="487798AE" w14:textId="77777777" w:rsidR="00EF6323" w:rsidRPr="0096176F" w:rsidRDefault="00EF6323" w:rsidP="00EF6323">
            <w:pPr>
              <w:ind w:left="0" w:firstLine="0"/>
            </w:pPr>
          </w:p>
          <w:p w14:paraId="2F292FB1" w14:textId="77777777" w:rsidR="00EF6323" w:rsidRPr="0096176F" w:rsidRDefault="00EF6323" w:rsidP="00EF6323">
            <w:pPr>
              <w:ind w:left="0" w:firstLine="0"/>
            </w:pPr>
            <w:r w:rsidRPr="0096176F">
              <w:lastRenderedPageBreak/>
              <w:t>The responsibility for management and maintenance of the assets lies with Veolia ES. They are required to demonstrate that they have maintenance programmes in place which ensure the condition of the assets is maintained.</w:t>
            </w:r>
          </w:p>
          <w:p w14:paraId="5A176307" w14:textId="77777777" w:rsidR="00EF6323" w:rsidRPr="0096176F" w:rsidRDefault="00EF6323" w:rsidP="00EF6323">
            <w:pPr>
              <w:ind w:left="0" w:firstLine="0"/>
            </w:pPr>
          </w:p>
          <w:p w14:paraId="4E3EF98E" w14:textId="77777777" w:rsidR="00EF6323" w:rsidRDefault="00EF6323" w:rsidP="00EF6323">
            <w:pPr>
              <w:ind w:left="0" w:firstLine="0"/>
            </w:pPr>
            <w:r w:rsidRPr="0096176F">
              <w:t>Where MRWA require changes to the number, type and configuration of the assets MRWA is responsible for those changes.</w:t>
            </w:r>
          </w:p>
          <w:p w14:paraId="60F899A5" w14:textId="77777777" w:rsidR="006A667B" w:rsidRDefault="006A667B" w:rsidP="00EF6323">
            <w:pPr>
              <w:ind w:left="0" w:firstLine="0"/>
            </w:pPr>
          </w:p>
          <w:p w14:paraId="3C2B3FB6" w14:textId="77777777" w:rsidR="006A667B" w:rsidRPr="0096176F" w:rsidRDefault="006A667B" w:rsidP="00EF6323">
            <w:pPr>
              <w:ind w:left="0" w:firstLine="0"/>
            </w:pPr>
            <w:r>
              <w:t>MRWA and Veolia have agreed to share the costs of funding a fire suppression system on the Bidston site during 2021-22.</w:t>
            </w:r>
          </w:p>
          <w:p w14:paraId="6237EAC1" w14:textId="77777777" w:rsidR="00EF6323" w:rsidRPr="0096176F" w:rsidRDefault="00EF6323" w:rsidP="00EF6323">
            <w:pPr>
              <w:ind w:left="0" w:firstLine="0"/>
            </w:pPr>
          </w:p>
          <w:p w14:paraId="1635CC73" w14:textId="77777777" w:rsidR="00EF6323" w:rsidRPr="0096176F" w:rsidRDefault="00EF6323" w:rsidP="00EF6323">
            <w:pPr>
              <w:ind w:left="0" w:firstLine="0"/>
              <w:rPr>
                <w:b/>
              </w:rPr>
            </w:pPr>
            <w:r w:rsidRPr="0096176F">
              <w:rPr>
                <w:b/>
              </w:rPr>
              <w:t>Office accommodation</w:t>
            </w:r>
          </w:p>
          <w:p w14:paraId="28F1258E" w14:textId="77777777" w:rsidR="00EF6323" w:rsidRPr="0096176F" w:rsidRDefault="00EF6323" w:rsidP="00EF6323">
            <w:pPr>
              <w:ind w:left="0" w:firstLine="0"/>
            </w:pPr>
          </w:p>
          <w:p w14:paraId="463A80E4" w14:textId="77777777" w:rsidR="00EF6323" w:rsidRPr="0096176F" w:rsidRDefault="00EF6323" w:rsidP="00EF6323">
            <w:pPr>
              <w:ind w:left="0" w:firstLine="0"/>
            </w:pPr>
            <w:r w:rsidRPr="0096176F">
              <w:t>Mersey Travel are the landlords for the office accommodation, any landlord related costs are their responsibility. For minor furniture related costs MRWA are responsible, for minor ICT costs MRWA are responsible, for network ICT costs Mersey Travel are responsible.</w:t>
            </w:r>
          </w:p>
        </w:tc>
        <w:tc>
          <w:tcPr>
            <w:tcW w:w="3544" w:type="dxa"/>
          </w:tcPr>
          <w:p w14:paraId="4D6F8F88" w14:textId="77777777" w:rsidR="00EF6323" w:rsidRPr="00191331" w:rsidRDefault="00EF6323" w:rsidP="00EF6323">
            <w:pPr>
              <w:ind w:left="0" w:firstLine="0"/>
              <w:rPr>
                <w:b/>
              </w:rPr>
            </w:pPr>
          </w:p>
        </w:tc>
        <w:tc>
          <w:tcPr>
            <w:tcW w:w="3544" w:type="dxa"/>
          </w:tcPr>
          <w:p w14:paraId="4BE2330A" w14:textId="77777777" w:rsidR="00EF6323" w:rsidRPr="00191331" w:rsidRDefault="00EF6323" w:rsidP="00EF6323">
            <w:pPr>
              <w:ind w:left="0" w:firstLine="0"/>
              <w:rPr>
                <w:b/>
              </w:rPr>
            </w:pPr>
          </w:p>
        </w:tc>
      </w:tr>
    </w:tbl>
    <w:p w14:paraId="342AD858" w14:textId="77777777" w:rsidR="005303AF" w:rsidRDefault="005303AF" w:rsidP="005303AF"/>
    <w:p w14:paraId="6ABA67CE" w14:textId="77777777" w:rsidR="005303AF" w:rsidRDefault="005303AF" w:rsidP="005303AF">
      <w:pPr>
        <w:rPr>
          <w:b/>
          <w:sz w:val="28"/>
          <w:szCs w:val="28"/>
        </w:rPr>
      </w:pPr>
      <w:r>
        <w:rPr>
          <w:b/>
          <w:sz w:val="28"/>
          <w:szCs w:val="28"/>
        </w:rPr>
        <w:br w:type="page"/>
      </w:r>
    </w:p>
    <w:p w14:paraId="0C2D40C0" w14:textId="77777777" w:rsidR="005303AF" w:rsidRPr="00E2334F" w:rsidRDefault="005303AF" w:rsidP="005303AF">
      <w:pPr>
        <w:rPr>
          <w:b/>
          <w:sz w:val="28"/>
          <w:szCs w:val="28"/>
        </w:rPr>
      </w:pPr>
      <w:r w:rsidRPr="00E2334F">
        <w:rPr>
          <w:b/>
          <w:sz w:val="28"/>
          <w:szCs w:val="28"/>
        </w:rPr>
        <w:lastRenderedPageBreak/>
        <w:t>Finance – capital and revenue</w:t>
      </w:r>
    </w:p>
    <w:p w14:paraId="3F19C357" w14:textId="77777777" w:rsidR="005303AF" w:rsidRDefault="005303AF" w:rsidP="005303AF">
      <w:pPr>
        <w:ind w:left="0" w:firstLine="0"/>
      </w:pPr>
      <w:r>
        <w:t xml:space="preserve">The assets utilised, managed and maintained by the Authority are financed through a combination of capital and revenue resources. The Capital Programme and Revenue budgets are approved annually at the Authority’s budget </w:t>
      </w:r>
      <w:proofErr w:type="gramStart"/>
      <w:r>
        <w:t>meeting, and</w:t>
      </w:r>
      <w:proofErr w:type="gramEnd"/>
      <w:r>
        <w:t xml:space="preserve"> may be revised if during the year different priorities are identified. The Capital programme and the Revenue Budget set out plans for the remainder of the current year and detailed plans for the following financial year. The Capital Programme and Revenue Budgets also set out for the medium term what the expectation is for the following two years. The Capital Programme sets out the expected sources of funding over each of the years of the Programme, and the Revenue Budget does the same. </w:t>
      </w:r>
    </w:p>
    <w:p w14:paraId="5A67C648" w14:textId="77777777" w:rsidR="005303AF" w:rsidRDefault="005303AF" w:rsidP="005303AF">
      <w:pPr>
        <w:ind w:left="0" w:firstLine="0"/>
      </w:pPr>
      <w:r>
        <w:t xml:space="preserve">Under the current corporate plan, with the significant Waste Management contracts in place, the WMRC for the next </w:t>
      </w:r>
      <w:r w:rsidR="006A667B">
        <w:t xml:space="preserve">8 </w:t>
      </w:r>
      <w:r>
        <w:t>years and the RRC for the next 2</w:t>
      </w:r>
      <w:r w:rsidR="006A667B">
        <w:t>2</w:t>
      </w:r>
      <w:r>
        <w:t>, there are no very significant capital projects planned at present</w:t>
      </w:r>
      <w:r w:rsidR="006A667B">
        <w:t>, with the exception of the Bidston Fire Suppression system</w:t>
      </w:r>
      <w:r>
        <w:t xml:space="preserve">, and as a consequence the </w:t>
      </w:r>
      <w:r w:rsidR="006A667B">
        <w:t xml:space="preserve">remainder of the </w:t>
      </w:r>
      <w:r>
        <w:t>capital programme is relatively modest. Should there be a call for significant capital investment in revised or new infrastructure this will be considered by Members as part of the Authority’s Capital Programme and Strategy.</w:t>
      </w:r>
    </w:p>
    <w:tbl>
      <w:tblPr>
        <w:tblStyle w:val="TableGrid"/>
        <w:tblW w:w="0" w:type="auto"/>
        <w:tblLook w:val="04A0" w:firstRow="1" w:lastRow="0" w:firstColumn="1" w:lastColumn="0" w:noHBand="0" w:noVBand="1"/>
      </w:tblPr>
      <w:tblGrid>
        <w:gridCol w:w="3484"/>
        <w:gridCol w:w="3485"/>
        <w:gridCol w:w="3490"/>
        <w:gridCol w:w="3489"/>
      </w:tblGrid>
      <w:tr w:rsidR="0060041C" w:rsidRPr="00205745" w14:paraId="5CA9E0E5" w14:textId="77777777" w:rsidTr="00FF4942">
        <w:tc>
          <w:tcPr>
            <w:tcW w:w="3543" w:type="dxa"/>
          </w:tcPr>
          <w:p w14:paraId="5A2EA4A7" w14:textId="77777777" w:rsidR="0060041C" w:rsidRDefault="0060041C" w:rsidP="0060041C">
            <w:pPr>
              <w:rPr>
                <w:b/>
              </w:rPr>
            </w:pPr>
            <w:r>
              <w:rPr>
                <w:b/>
              </w:rPr>
              <w:t>Corporate Aim 1</w:t>
            </w:r>
          </w:p>
          <w:p w14:paraId="4A6F751B" w14:textId="77777777" w:rsidR="0060041C" w:rsidRDefault="0060041C" w:rsidP="0060041C">
            <w:pPr>
              <w:rPr>
                <w:b/>
              </w:rPr>
            </w:pPr>
          </w:p>
          <w:p w14:paraId="30EC6FDD" w14:textId="77777777" w:rsidR="0060041C" w:rsidRDefault="0060041C" w:rsidP="0060041C">
            <w:pPr>
              <w:ind w:left="0" w:firstLine="0"/>
              <w:rPr>
                <w:b/>
              </w:rPr>
            </w:pPr>
            <w:r>
              <w:rPr>
                <w:b/>
              </w:rPr>
              <w:t>IMPROVE THE SUSTAINABLE MANAGEMENT OF WASTE AND RESOURCE</w:t>
            </w:r>
          </w:p>
        </w:tc>
        <w:tc>
          <w:tcPr>
            <w:tcW w:w="3543" w:type="dxa"/>
          </w:tcPr>
          <w:p w14:paraId="798C5011" w14:textId="77777777" w:rsidR="0060041C" w:rsidRDefault="0060041C" w:rsidP="0060041C">
            <w:pPr>
              <w:rPr>
                <w:rFonts w:ascii="Calibri" w:eastAsia="Calibri" w:hAnsi="Calibri" w:cs="Times New Roman"/>
                <w:b/>
              </w:rPr>
            </w:pPr>
            <w:r>
              <w:rPr>
                <w:rFonts w:ascii="Calibri" w:eastAsia="Calibri" w:hAnsi="Calibri" w:cs="Times New Roman"/>
                <w:b/>
              </w:rPr>
              <w:t>Corporate aim 2</w:t>
            </w:r>
          </w:p>
          <w:p w14:paraId="16E893C4" w14:textId="77777777" w:rsidR="0060041C" w:rsidRDefault="0060041C" w:rsidP="0060041C">
            <w:pPr>
              <w:rPr>
                <w:rFonts w:ascii="Calibri" w:eastAsia="Calibri" w:hAnsi="Calibri" w:cs="Times New Roman"/>
                <w:b/>
              </w:rPr>
            </w:pPr>
          </w:p>
          <w:p w14:paraId="737975C8" w14:textId="77777777" w:rsidR="0060041C" w:rsidRDefault="0060041C" w:rsidP="0060041C">
            <w:pPr>
              <w:ind w:left="0" w:firstLine="0"/>
              <w:rPr>
                <w:rFonts w:ascii="Calibri" w:eastAsia="Calibri" w:hAnsi="Calibri" w:cs="Times New Roman"/>
                <w:b/>
              </w:rPr>
            </w:pPr>
            <w:r>
              <w:rPr>
                <w:rFonts w:ascii="Calibri" w:eastAsia="Calibri" w:hAnsi="Calibri" w:cs="Times New Roman"/>
                <w:b/>
              </w:rPr>
              <w:t>WE WILL DELIVER EFFECTIVE WASTE SERVICES</w:t>
            </w:r>
          </w:p>
        </w:tc>
        <w:tc>
          <w:tcPr>
            <w:tcW w:w="3544" w:type="dxa"/>
          </w:tcPr>
          <w:p w14:paraId="15A8609C" w14:textId="77777777" w:rsidR="0060041C" w:rsidRDefault="0060041C" w:rsidP="0060041C">
            <w:pPr>
              <w:ind w:left="0" w:firstLine="0"/>
              <w:rPr>
                <w:b/>
              </w:rPr>
            </w:pPr>
            <w:r>
              <w:rPr>
                <w:b/>
              </w:rPr>
              <w:t>Corporate aim 3</w:t>
            </w:r>
          </w:p>
          <w:p w14:paraId="778F0A53" w14:textId="77777777" w:rsidR="0060041C" w:rsidRDefault="0060041C" w:rsidP="0060041C">
            <w:pPr>
              <w:ind w:left="0" w:firstLine="0"/>
              <w:rPr>
                <w:b/>
              </w:rPr>
            </w:pPr>
          </w:p>
          <w:p w14:paraId="458C0132" w14:textId="191D677C" w:rsidR="0060041C" w:rsidRDefault="0060041C" w:rsidP="0060041C">
            <w:pPr>
              <w:ind w:left="0" w:firstLine="0"/>
              <w:rPr>
                <w:b/>
              </w:rPr>
            </w:pPr>
            <w:r>
              <w:rPr>
                <w:b/>
              </w:rPr>
              <w:t>CO-OPERATE TO IMPR</w:t>
            </w:r>
            <w:r w:rsidR="00CB264C">
              <w:rPr>
                <w:b/>
              </w:rPr>
              <w:t>O</w:t>
            </w:r>
            <w:r>
              <w:rPr>
                <w:b/>
              </w:rPr>
              <w:t>VE WORKING ARRANGEMENTS</w:t>
            </w:r>
          </w:p>
        </w:tc>
        <w:tc>
          <w:tcPr>
            <w:tcW w:w="3544" w:type="dxa"/>
          </w:tcPr>
          <w:p w14:paraId="2716BC7F" w14:textId="77777777" w:rsidR="0060041C" w:rsidRDefault="0060041C" w:rsidP="0060041C">
            <w:pPr>
              <w:rPr>
                <w:b/>
              </w:rPr>
            </w:pPr>
            <w:r>
              <w:rPr>
                <w:b/>
              </w:rPr>
              <w:t>Corporate aim 4</w:t>
            </w:r>
          </w:p>
          <w:p w14:paraId="2E4A2C1B" w14:textId="77777777" w:rsidR="0060041C" w:rsidRDefault="0060041C" w:rsidP="0060041C">
            <w:pPr>
              <w:rPr>
                <w:b/>
              </w:rPr>
            </w:pPr>
          </w:p>
          <w:p w14:paraId="6E8AC4B9" w14:textId="77777777" w:rsidR="0060041C" w:rsidRDefault="0060041C" w:rsidP="0060041C">
            <w:pPr>
              <w:ind w:left="0" w:firstLine="0"/>
              <w:rPr>
                <w:b/>
              </w:rPr>
            </w:pPr>
            <w:r>
              <w:rPr>
                <w:b/>
              </w:rPr>
              <w:t>MEASURE AND REPORT ON CLIMATE CHANGE IMPACTS AND SUSTAINABILITY IMPROVEMENTS</w:t>
            </w:r>
          </w:p>
        </w:tc>
      </w:tr>
      <w:tr w:rsidR="005303AF" w:rsidRPr="00191331" w14:paraId="5CB5D9B5" w14:textId="77777777" w:rsidTr="00FF4942">
        <w:tc>
          <w:tcPr>
            <w:tcW w:w="3543" w:type="dxa"/>
          </w:tcPr>
          <w:p w14:paraId="7C259C69" w14:textId="77777777" w:rsidR="00EF6323" w:rsidRPr="0096176F" w:rsidRDefault="00EF6323" w:rsidP="00EF6323">
            <w:pPr>
              <w:ind w:left="0" w:firstLine="0"/>
              <w:rPr>
                <w:b/>
              </w:rPr>
            </w:pPr>
            <w:r w:rsidRPr="0096176F">
              <w:rPr>
                <w:b/>
              </w:rPr>
              <w:t>Closed Landfill sites</w:t>
            </w:r>
          </w:p>
          <w:p w14:paraId="49EE6593" w14:textId="77777777" w:rsidR="00EF6323" w:rsidRPr="0096176F" w:rsidRDefault="00EF6323" w:rsidP="00EF6323">
            <w:pPr>
              <w:ind w:left="0" w:firstLine="0"/>
            </w:pPr>
          </w:p>
          <w:p w14:paraId="59BB94F0" w14:textId="77777777" w:rsidR="00EF6323" w:rsidRPr="0096176F" w:rsidRDefault="00EF6323" w:rsidP="00EF6323">
            <w:pPr>
              <w:ind w:left="0" w:firstLine="0"/>
            </w:pPr>
            <w:r w:rsidRPr="0096176F">
              <w:t>The closed landfill sites require regular monitoring and maintenance. These are not considered to be capital costs but are treated as revenue costs for and are paid for from revenue budgets.</w:t>
            </w:r>
          </w:p>
          <w:p w14:paraId="0C4DA18B" w14:textId="77777777" w:rsidR="00EF6323" w:rsidRPr="0096176F" w:rsidRDefault="00EF6323" w:rsidP="00EF6323">
            <w:pPr>
              <w:ind w:left="0" w:firstLine="0"/>
            </w:pPr>
          </w:p>
          <w:p w14:paraId="193B099F" w14:textId="77777777" w:rsidR="00EF6323" w:rsidRPr="0096176F" w:rsidRDefault="00EF6323" w:rsidP="00EF6323">
            <w:pPr>
              <w:ind w:left="0" w:firstLine="0"/>
            </w:pPr>
            <w:r w:rsidRPr="0096176F">
              <w:t xml:space="preserve">Were there to be a need for any structural works at the sites this will be considered as part of a capital programme, for example an </w:t>
            </w:r>
            <w:r w:rsidRPr="0096176F">
              <w:lastRenderedPageBreak/>
              <w:t>additional flare may be required at the Bidston landfill site.</w:t>
            </w:r>
          </w:p>
          <w:p w14:paraId="08ECCE1D" w14:textId="77777777" w:rsidR="00EF6323" w:rsidRPr="0096176F" w:rsidRDefault="00EF6323" w:rsidP="00EF6323">
            <w:pPr>
              <w:ind w:left="0" w:firstLine="0"/>
            </w:pPr>
          </w:p>
          <w:p w14:paraId="7FABEE98" w14:textId="77777777" w:rsidR="00EF6323" w:rsidRPr="0096176F" w:rsidRDefault="00EF6323" w:rsidP="00EF6323">
            <w:pPr>
              <w:ind w:left="0" w:firstLine="0"/>
            </w:pPr>
            <w:r w:rsidRPr="0096176F">
              <w:t xml:space="preserve">In the case of Bidston Methane Ltd </w:t>
            </w:r>
            <w:r w:rsidR="0096176F">
              <w:t>(BML) the Authority is working with its partner (</w:t>
            </w:r>
            <w:proofErr w:type="spellStart"/>
            <w:r w:rsidR="0096176F">
              <w:t>Infinis</w:t>
            </w:r>
            <w:proofErr w:type="spellEnd"/>
            <w:r w:rsidR="0096176F">
              <w:t>) to re-align the way the gas fields on the sites are managed. This may involve the procurement of a flare for one of the sites, and a venting system for the other. It is anticip</w:t>
            </w:r>
            <w:r w:rsidR="00BD2EEE">
              <w:t>ated that should the joint arrangement that is BML be ended there will be a small financial benefit to the Authority.</w:t>
            </w:r>
          </w:p>
          <w:p w14:paraId="01ED490A" w14:textId="77777777" w:rsidR="00EF6323" w:rsidRPr="0096176F" w:rsidRDefault="00EF6323" w:rsidP="00EF6323">
            <w:pPr>
              <w:ind w:left="0" w:firstLine="0"/>
            </w:pPr>
          </w:p>
          <w:p w14:paraId="0717B604" w14:textId="77777777" w:rsidR="00EF6323" w:rsidRPr="0096176F" w:rsidRDefault="00EF6323" w:rsidP="00EF6323">
            <w:pPr>
              <w:ind w:left="0" w:firstLine="0"/>
            </w:pPr>
          </w:p>
          <w:p w14:paraId="33AE5F78" w14:textId="77777777" w:rsidR="00EF6323" w:rsidRPr="0096176F" w:rsidRDefault="00EF6323" w:rsidP="005303AF">
            <w:pPr>
              <w:ind w:left="0" w:firstLine="0"/>
            </w:pPr>
          </w:p>
          <w:p w14:paraId="439148EA" w14:textId="77777777" w:rsidR="005303AF" w:rsidRPr="0096176F" w:rsidRDefault="005303AF" w:rsidP="005303AF">
            <w:pPr>
              <w:ind w:left="0" w:firstLine="0"/>
            </w:pPr>
          </w:p>
        </w:tc>
        <w:tc>
          <w:tcPr>
            <w:tcW w:w="3543" w:type="dxa"/>
          </w:tcPr>
          <w:p w14:paraId="37A70ACB" w14:textId="77777777" w:rsidR="00EF6323" w:rsidRPr="0096176F" w:rsidRDefault="00EF6323" w:rsidP="00EF6323">
            <w:pPr>
              <w:ind w:left="0" w:firstLine="0"/>
              <w:rPr>
                <w:b/>
              </w:rPr>
            </w:pPr>
            <w:r w:rsidRPr="0096176F">
              <w:rPr>
                <w:b/>
              </w:rPr>
              <w:lastRenderedPageBreak/>
              <w:t>RRC Contract</w:t>
            </w:r>
          </w:p>
          <w:p w14:paraId="1E55DE5F" w14:textId="77777777" w:rsidR="00EF6323" w:rsidRPr="0096176F" w:rsidRDefault="00EF6323" w:rsidP="00EF6323">
            <w:pPr>
              <w:ind w:left="0" w:firstLine="0"/>
            </w:pPr>
          </w:p>
          <w:p w14:paraId="5F40A712" w14:textId="6D500451" w:rsidR="00EF6323" w:rsidRPr="0096176F" w:rsidRDefault="00EF6323" w:rsidP="00EF6323">
            <w:pPr>
              <w:ind w:left="0" w:firstLine="0"/>
            </w:pPr>
            <w:r w:rsidRPr="0096176F">
              <w:t xml:space="preserve">The costs of management and maintenance of all the assets used to deliver this contract are met by the contractor, and ultimately by MRWA through the contract payments, these are revenue payments. </w:t>
            </w:r>
          </w:p>
          <w:p w14:paraId="4E563F18" w14:textId="77777777" w:rsidR="00EF6323" w:rsidRPr="0096176F" w:rsidRDefault="00EF6323" w:rsidP="00EF6323">
            <w:pPr>
              <w:ind w:left="0" w:firstLine="0"/>
            </w:pPr>
          </w:p>
          <w:p w14:paraId="5DBF6897" w14:textId="77777777" w:rsidR="00EF6323" w:rsidRPr="0096176F" w:rsidRDefault="00EF6323" w:rsidP="00EF6323">
            <w:pPr>
              <w:ind w:left="0" w:firstLine="0"/>
              <w:rPr>
                <w:b/>
              </w:rPr>
            </w:pPr>
            <w:r w:rsidRPr="0096176F">
              <w:rPr>
                <w:b/>
              </w:rPr>
              <w:t>WMRC contract</w:t>
            </w:r>
          </w:p>
          <w:p w14:paraId="131C3FC6" w14:textId="77777777" w:rsidR="00EF6323" w:rsidRPr="0096176F" w:rsidRDefault="00EF6323" w:rsidP="00EF6323">
            <w:pPr>
              <w:ind w:left="0" w:firstLine="0"/>
            </w:pPr>
          </w:p>
          <w:p w14:paraId="3DC75D61" w14:textId="31C289FE" w:rsidR="00EF6323" w:rsidRPr="0096176F" w:rsidRDefault="00EF6323" w:rsidP="00EF6323">
            <w:pPr>
              <w:ind w:left="0" w:firstLine="0"/>
            </w:pPr>
            <w:r w:rsidRPr="0096176F">
              <w:t xml:space="preserve">The costs of management and maintenance of all the assets used </w:t>
            </w:r>
            <w:r w:rsidRPr="0096176F">
              <w:lastRenderedPageBreak/>
              <w:t xml:space="preserve">to deliver this contract are met by the contractor, and ultimately by MRWA through the contract payments, these are revenue payments. The cost of any strategic asset developments will be met from the capital programme. </w:t>
            </w:r>
          </w:p>
          <w:p w14:paraId="245632E6" w14:textId="77777777" w:rsidR="00EF6323" w:rsidRPr="0096176F" w:rsidRDefault="00EF6323" w:rsidP="00EF6323">
            <w:pPr>
              <w:ind w:left="0" w:firstLine="0"/>
            </w:pPr>
          </w:p>
          <w:p w14:paraId="19EB612C" w14:textId="77777777" w:rsidR="00EF6323" w:rsidRPr="0096176F" w:rsidRDefault="00EF6323" w:rsidP="00EF6323">
            <w:pPr>
              <w:ind w:left="0" w:firstLine="0"/>
            </w:pPr>
            <w:r w:rsidRPr="0096176F">
              <w:t xml:space="preserve">For </w:t>
            </w:r>
            <w:r w:rsidR="0096176F">
              <w:t>2020-21</w:t>
            </w:r>
            <w:r w:rsidRPr="0096176F">
              <w:t xml:space="preserve"> proposals include </w:t>
            </w:r>
            <w:r w:rsidR="00BD2EEE">
              <w:t>continuation of the</w:t>
            </w:r>
            <w:r w:rsidRPr="0096176F">
              <w:t xml:space="preserve"> scheme to help manage access control at a small number of HWRC sites, which will require reconfiguration of the way the public enter each site.</w:t>
            </w:r>
          </w:p>
          <w:p w14:paraId="75FB90A0" w14:textId="77777777" w:rsidR="00EF6323" w:rsidRPr="0096176F" w:rsidRDefault="00EF6323" w:rsidP="00EF6323">
            <w:pPr>
              <w:ind w:left="0" w:firstLine="0"/>
            </w:pPr>
          </w:p>
          <w:p w14:paraId="4EE83A71" w14:textId="77777777" w:rsidR="00EF6323" w:rsidRPr="0096176F" w:rsidRDefault="00EF6323" w:rsidP="00EF6323">
            <w:pPr>
              <w:ind w:left="0" w:firstLine="0"/>
            </w:pPr>
            <w:r w:rsidRPr="0096176F">
              <w:t>Office accommodation</w:t>
            </w:r>
          </w:p>
          <w:p w14:paraId="3E16E5AE" w14:textId="77777777" w:rsidR="00EF6323" w:rsidRPr="0096176F" w:rsidRDefault="00EF6323" w:rsidP="00EF6323">
            <w:pPr>
              <w:ind w:left="0" w:firstLine="0"/>
            </w:pPr>
          </w:p>
          <w:p w14:paraId="0F761BE1" w14:textId="0F34A4C7" w:rsidR="005303AF" w:rsidRPr="0096176F" w:rsidRDefault="00EF6323" w:rsidP="00EF6323">
            <w:pPr>
              <w:ind w:left="0" w:firstLine="0"/>
            </w:pPr>
            <w:r w:rsidRPr="0096176F">
              <w:t>Landlord costs are paid for by the Landlord, Mersey Travel, effectively paid for by MRWA through rental costs. Very minor office accommodation costs that fall to MRWA are paid for via revenue budgets</w:t>
            </w:r>
            <w:r w:rsidR="00CB264C">
              <w:t xml:space="preserve"> </w:t>
            </w:r>
            <w:r w:rsidRPr="0096176F">
              <w:t>and the joint venture, the Authority has recognised a need for a gas flare to be replaced and that is included in the capital programme</w:t>
            </w:r>
          </w:p>
        </w:tc>
        <w:tc>
          <w:tcPr>
            <w:tcW w:w="3544" w:type="dxa"/>
          </w:tcPr>
          <w:p w14:paraId="41184E25" w14:textId="77777777" w:rsidR="005303AF" w:rsidRPr="00B4135F" w:rsidRDefault="005303AF" w:rsidP="005303AF">
            <w:pPr>
              <w:ind w:left="0" w:firstLine="0"/>
              <w:rPr>
                <w:b/>
              </w:rPr>
            </w:pPr>
            <w:r w:rsidRPr="00B4135F">
              <w:rPr>
                <w:b/>
              </w:rPr>
              <w:lastRenderedPageBreak/>
              <w:t>Strategic Review</w:t>
            </w:r>
          </w:p>
          <w:p w14:paraId="5C7ABF40" w14:textId="77777777" w:rsidR="005303AF" w:rsidRPr="0096176F" w:rsidRDefault="005303AF" w:rsidP="005303AF">
            <w:pPr>
              <w:ind w:left="0" w:firstLine="0"/>
            </w:pPr>
          </w:p>
          <w:p w14:paraId="6C07E3F9" w14:textId="77777777" w:rsidR="005303AF" w:rsidRPr="0096176F" w:rsidRDefault="005303AF" w:rsidP="005303AF">
            <w:pPr>
              <w:ind w:left="0" w:firstLine="0"/>
            </w:pPr>
            <w:r w:rsidRPr="0096176F">
              <w:t>As part of a Strategic Review of waste the Authority was asked to consider proposals for making savings which could support the City Region. The proposals that may be taken forward include some measures which would affect the use of Authority assets, namely:</w:t>
            </w:r>
          </w:p>
          <w:p w14:paraId="05C1AC9D" w14:textId="77777777" w:rsidR="005303AF" w:rsidRPr="0096176F" w:rsidRDefault="005303AF" w:rsidP="005303AF">
            <w:pPr>
              <w:ind w:left="0" w:firstLine="0"/>
            </w:pPr>
          </w:p>
          <w:p w14:paraId="7207BEE6" w14:textId="77777777" w:rsidR="005303AF" w:rsidRPr="0096176F" w:rsidRDefault="005303AF" w:rsidP="005303AF">
            <w:pPr>
              <w:ind w:left="0" w:firstLine="0"/>
            </w:pPr>
            <w:r w:rsidRPr="0096176F">
              <w:t>Potential savings from HWRC days and hours of opening being changed</w:t>
            </w:r>
          </w:p>
          <w:p w14:paraId="2E3382C7" w14:textId="77777777" w:rsidR="005303AF" w:rsidRPr="0096176F" w:rsidRDefault="005303AF" w:rsidP="005303AF">
            <w:pPr>
              <w:ind w:left="0" w:firstLine="0"/>
            </w:pPr>
          </w:p>
          <w:p w14:paraId="092CE4A3" w14:textId="77777777" w:rsidR="005303AF" w:rsidRPr="0096176F" w:rsidRDefault="005303AF" w:rsidP="005303AF">
            <w:pPr>
              <w:ind w:left="0" w:firstLine="0"/>
            </w:pPr>
            <w:r w:rsidRPr="0096176F">
              <w:lastRenderedPageBreak/>
              <w:t>Potential savings from charging for non-household waste at HRWCs</w:t>
            </w:r>
          </w:p>
          <w:p w14:paraId="1A4BFA9D" w14:textId="77777777" w:rsidR="005303AF" w:rsidRPr="0096176F" w:rsidRDefault="005303AF" w:rsidP="005303AF">
            <w:pPr>
              <w:ind w:left="0" w:firstLine="0"/>
            </w:pPr>
          </w:p>
          <w:p w14:paraId="6FDA11C1" w14:textId="77777777" w:rsidR="005303AF" w:rsidRDefault="005303AF" w:rsidP="005303AF">
            <w:pPr>
              <w:ind w:left="0" w:firstLine="0"/>
            </w:pPr>
            <w:r w:rsidRPr="0096176F">
              <w:t>Potential for reduction in costs from restricting access to sites to Merseyside residents only</w:t>
            </w:r>
          </w:p>
          <w:p w14:paraId="1BE80636" w14:textId="77777777" w:rsidR="00B4135F" w:rsidRDefault="00B4135F" w:rsidP="005303AF">
            <w:pPr>
              <w:ind w:left="0" w:firstLine="0"/>
            </w:pPr>
          </w:p>
          <w:p w14:paraId="2F430B14" w14:textId="77777777" w:rsidR="00B4135F" w:rsidRPr="00B4135F" w:rsidRDefault="00B4135F" w:rsidP="005303AF">
            <w:pPr>
              <w:ind w:left="0" w:firstLine="0"/>
              <w:rPr>
                <w:b/>
              </w:rPr>
            </w:pPr>
            <w:r w:rsidRPr="00B4135F">
              <w:rPr>
                <w:b/>
              </w:rPr>
              <w:t>Food waste collections</w:t>
            </w:r>
          </w:p>
          <w:p w14:paraId="3A0CC05A" w14:textId="77777777" w:rsidR="00B4135F" w:rsidRDefault="00B4135F" w:rsidP="005303AF">
            <w:pPr>
              <w:ind w:left="0" w:firstLine="0"/>
            </w:pPr>
          </w:p>
          <w:p w14:paraId="163C1E7B" w14:textId="77777777" w:rsidR="00B4135F" w:rsidRPr="0096176F" w:rsidRDefault="00B4135F" w:rsidP="005303AF">
            <w:pPr>
              <w:ind w:left="0" w:firstLine="0"/>
            </w:pPr>
            <w:r>
              <w:t>The Authority is working alongside the Senior Officers Working Group of the Liverpool City Region’s Waste Collection Authorities to develop an approach to the early adoption of weekly Food Waste Collections across the LCR</w:t>
            </w:r>
          </w:p>
        </w:tc>
        <w:tc>
          <w:tcPr>
            <w:tcW w:w="3544" w:type="dxa"/>
          </w:tcPr>
          <w:p w14:paraId="1B6A09BC" w14:textId="77777777" w:rsidR="005303AF" w:rsidRPr="00D44C2F" w:rsidRDefault="005303AF" w:rsidP="005303AF">
            <w:pPr>
              <w:ind w:left="0" w:firstLine="0"/>
              <w:rPr>
                <w:b/>
              </w:rPr>
            </w:pPr>
            <w:r w:rsidRPr="00D44C2F">
              <w:rPr>
                <w:b/>
              </w:rPr>
              <w:lastRenderedPageBreak/>
              <w:t>Capital programme</w:t>
            </w:r>
          </w:p>
          <w:p w14:paraId="4E043BDA" w14:textId="77777777" w:rsidR="005303AF" w:rsidRPr="00D44C2F" w:rsidRDefault="005303AF" w:rsidP="005303AF">
            <w:pPr>
              <w:ind w:left="0" w:firstLine="0"/>
            </w:pPr>
          </w:p>
          <w:p w14:paraId="1378E9C6" w14:textId="77777777" w:rsidR="005303AF" w:rsidRPr="00D44C2F" w:rsidRDefault="005303AF" w:rsidP="005303AF">
            <w:pPr>
              <w:ind w:left="0" w:firstLine="0"/>
            </w:pPr>
            <w:r w:rsidRPr="00D44C2F">
              <w:t xml:space="preserve">The </w:t>
            </w:r>
            <w:r w:rsidR="003B4CD4" w:rsidRPr="00D44C2F">
              <w:t xml:space="preserve">proposed </w:t>
            </w:r>
            <w:r w:rsidRPr="00D44C2F">
              <w:t xml:space="preserve">capital programme for </w:t>
            </w:r>
            <w:r w:rsidR="0096176F" w:rsidRPr="00D44C2F">
              <w:t>202</w:t>
            </w:r>
            <w:r w:rsidR="006A667B">
              <w:t>1</w:t>
            </w:r>
            <w:r w:rsidR="0096176F" w:rsidRPr="00D44C2F">
              <w:t>-2</w:t>
            </w:r>
            <w:r w:rsidR="006A667B">
              <w:t>2</w:t>
            </w:r>
            <w:r w:rsidRPr="00D44C2F">
              <w:t xml:space="preserve"> includes the following:</w:t>
            </w:r>
          </w:p>
          <w:p w14:paraId="20AD00A9" w14:textId="77777777" w:rsidR="005303AF" w:rsidRPr="00D44C2F" w:rsidRDefault="005303AF" w:rsidP="005303AF">
            <w:pPr>
              <w:ind w:left="0" w:firstLine="0"/>
            </w:pPr>
          </w:p>
          <w:p w14:paraId="27FF21EC" w14:textId="77777777" w:rsidR="00CA6057" w:rsidRPr="00D44C2F" w:rsidRDefault="00CA6057" w:rsidP="005303AF">
            <w:pPr>
              <w:ind w:left="0" w:firstLine="0"/>
            </w:pPr>
            <w:r w:rsidRPr="00D44C2F">
              <w:t>20</w:t>
            </w:r>
            <w:r w:rsidR="00231B0C">
              <w:t>20</w:t>
            </w:r>
            <w:r w:rsidRPr="00D44C2F">
              <w:t>-2</w:t>
            </w:r>
            <w:r w:rsidR="00231B0C">
              <w:t>1</w:t>
            </w:r>
            <w:r w:rsidRPr="00D44C2F">
              <w:t xml:space="preserve"> revised estimate</w:t>
            </w:r>
          </w:p>
          <w:p w14:paraId="01C51C00" w14:textId="77777777" w:rsidR="00CA6057" w:rsidRPr="00D44C2F" w:rsidRDefault="00CA6057" w:rsidP="005303AF">
            <w:pPr>
              <w:ind w:left="0" w:firstLine="0"/>
            </w:pPr>
          </w:p>
          <w:p w14:paraId="01CFE77F" w14:textId="77777777" w:rsidR="005303AF" w:rsidRPr="00D44C2F" w:rsidRDefault="005303AF" w:rsidP="005303AF">
            <w:pPr>
              <w:ind w:left="0" w:firstLine="0"/>
            </w:pPr>
            <w:r w:rsidRPr="00D44C2F">
              <w:t>HWRC access management:</w:t>
            </w:r>
          </w:p>
          <w:p w14:paraId="1FF0AF29" w14:textId="77777777" w:rsidR="005303AF" w:rsidRPr="00D44C2F" w:rsidRDefault="005303AF" w:rsidP="005303AF">
            <w:pPr>
              <w:ind w:left="0" w:firstLine="0"/>
            </w:pPr>
            <w:r w:rsidRPr="00D44C2F">
              <w:br/>
            </w:r>
            <w:r w:rsidR="003B4CD4" w:rsidRPr="00D44C2F">
              <w:t xml:space="preserve">Roll Out    </w:t>
            </w:r>
            <w:r w:rsidRPr="00D44C2F">
              <w:t xml:space="preserve">   </w:t>
            </w:r>
            <w:r w:rsidR="00CA6057" w:rsidRPr="00D44C2F">
              <w:t xml:space="preserve">                 </w:t>
            </w:r>
            <w:r w:rsidRPr="00D44C2F">
              <w:t>£</w:t>
            </w:r>
            <w:r w:rsidR="00CA6057" w:rsidRPr="00D44C2F">
              <w:t>42</w:t>
            </w:r>
            <w:r w:rsidRPr="00D44C2F">
              <w:t>k</w:t>
            </w:r>
          </w:p>
          <w:p w14:paraId="6F7C6EF6" w14:textId="77777777" w:rsidR="005303AF" w:rsidRPr="00D44C2F" w:rsidRDefault="005303AF" w:rsidP="005303AF">
            <w:pPr>
              <w:ind w:left="0" w:firstLine="0"/>
            </w:pPr>
          </w:p>
          <w:p w14:paraId="13B9B8F9" w14:textId="77777777" w:rsidR="005303AF" w:rsidRPr="00D44C2F" w:rsidRDefault="005303AF" w:rsidP="005303AF">
            <w:pPr>
              <w:ind w:left="0" w:firstLine="0"/>
            </w:pPr>
            <w:r w:rsidRPr="00D44C2F">
              <w:t xml:space="preserve">Infrastructure            </w:t>
            </w:r>
            <w:r w:rsidR="006A667B">
              <w:t xml:space="preserve"> </w:t>
            </w:r>
            <w:r w:rsidRPr="00D44C2F">
              <w:t>£</w:t>
            </w:r>
            <w:r w:rsidR="006A667B">
              <w:t>70</w:t>
            </w:r>
            <w:r w:rsidRPr="00D44C2F">
              <w:t>k</w:t>
            </w:r>
          </w:p>
          <w:p w14:paraId="56F9E79F" w14:textId="77777777" w:rsidR="00CA6057" w:rsidRPr="00D44C2F" w:rsidRDefault="00CA6057" w:rsidP="005303AF">
            <w:pPr>
              <w:ind w:left="0" w:firstLine="0"/>
            </w:pPr>
          </w:p>
          <w:p w14:paraId="4C379D52" w14:textId="77777777" w:rsidR="00CA6057" w:rsidRPr="00D44C2F" w:rsidRDefault="00CA6057" w:rsidP="005303AF">
            <w:pPr>
              <w:ind w:left="0" w:firstLine="0"/>
            </w:pPr>
            <w:r w:rsidRPr="00D44C2F">
              <w:t>Replacement Flare     £35k</w:t>
            </w:r>
          </w:p>
          <w:p w14:paraId="0C9B3579" w14:textId="77777777" w:rsidR="005303AF" w:rsidRPr="00D44C2F" w:rsidRDefault="005303AF" w:rsidP="005303AF">
            <w:pPr>
              <w:ind w:left="0" w:firstLine="0"/>
            </w:pPr>
          </w:p>
          <w:p w14:paraId="395F1EE7" w14:textId="77777777" w:rsidR="005303AF" w:rsidRPr="00D44C2F" w:rsidRDefault="0096176F" w:rsidP="005303AF">
            <w:pPr>
              <w:ind w:left="0" w:firstLine="0"/>
            </w:pPr>
            <w:r w:rsidRPr="00D44C2F">
              <w:t>For 202</w:t>
            </w:r>
            <w:r w:rsidR="00231B0C">
              <w:t>1</w:t>
            </w:r>
            <w:r w:rsidRPr="00D44C2F">
              <w:t>-2</w:t>
            </w:r>
            <w:r w:rsidR="00231B0C">
              <w:t>2</w:t>
            </w:r>
          </w:p>
          <w:p w14:paraId="11314363" w14:textId="77777777" w:rsidR="005303AF" w:rsidRPr="00D44C2F" w:rsidRDefault="005303AF" w:rsidP="005303AF">
            <w:pPr>
              <w:ind w:left="0" w:firstLine="0"/>
            </w:pPr>
            <w:r w:rsidRPr="00D44C2F">
              <w:t xml:space="preserve">The </w:t>
            </w:r>
            <w:r w:rsidR="003B4CD4" w:rsidRPr="00D44C2F">
              <w:t xml:space="preserve">proposed </w:t>
            </w:r>
            <w:r w:rsidRPr="00D44C2F">
              <w:t>programme is as follows:</w:t>
            </w:r>
          </w:p>
          <w:p w14:paraId="29F2DAAC" w14:textId="77777777" w:rsidR="005303AF" w:rsidRPr="00D44C2F" w:rsidRDefault="005303AF" w:rsidP="005303AF">
            <w:pPr>
              <w:ind w:left="0" w:firstLine="0"/>
            </w:pPr>
          </w:p>
          <w:p w14:paraId="64BBCAAE" w14:textId="77777777" w:rsidR="00231B0C" w:rsidRPr="00D44C2F" w:rsidRDefault="00231B0C" w:rsidP="00231B0C">
            <w:pPr>
              <w:ind w:left="0" w:firstLine="0"/>
            </w:pPr>
            <w:r w:rsidRPr="00D44C2F">
              <w:t>HWRC access management:</w:t>
            </w:r>
            <w:r w:rsidRPr="00D44C2F">
              <w:br/>
              <w:t>Roll Out                        £40k</w:t>
            </w:r>
          </w:p>
          <w:p w14:paraId="135B5905" w14:textId="77777777" w:rsidR="00231B0C" w:rsidRPr="00D44C2F" w:rsidRDefault="00231B0C" w:rsidP="00231B0C">
            <w:pPr>
              <w:ind w:left="0" w:firstLine="0"/>
            </w:pPr>
          </w:p>
          <w:p w14:paraId="3272C632" w14:textId="77777777" w:rsidR="00231B0C" w:rsidRPr="00D44C2F" w:rsidRDefault="00231B0C" w:rsidP="00231B0C">
            <w:pPr>
              <w:ind w:left="0" w:firstLine="0"/>
            </w:pPr>
            <w:r w:rsidRPr="00D44C2F">
              <w:t>HWRC Strategic Review</w:t>
            </w:r>
          </w:p>
          <w:p w14:paraId="782A3A89" w14:textId="77777777" w:rsidR="00231B0C" w:rsidRPr="00D44C2F" w:rsidRDefault="00231B0C" w:rsidP="00231B0C">
            <w:pPr>
              <w:ind w:left="0" w:firstLine="0"/>
            </w:pPr>
            <w:r w:rsidRPr="00D44C2F">
              <w:t>Access control           £2</w:t>
            </w:r>
            <w:r>
              <w:t>50</w:t>
            </w:r>
            <w:r w:rsidRPr="00D44C2F">
              <w:t>k</w:t>
            </w:r>
          </w:p>
          <w:p w14:paraId="071499D3" w14:textId="77777777" w:rsidR="00231B0C" w:rsidRPr="00D44C2F" w:rsidRDefault="00231B0C" w:rsidP="00231B0C">
            <w:pPr>
              <w:ind w:left="0" w:firstLine="0"/>
            </w:pPr>
          </w:p>
          <w:p w14:paraId="3C5DF777" w14:textId="77777777" w:rsidR="00231B0C" w:rsidRDefault="00231B0C" w:rsidP="00231B0C">
            <w:pPr>
              <w:ind w:left="0" w:firstLine="0"/>
            </w:pPr>
            <w:r w:rsidRPr="00D44C2F">
              <w:t>Infrastructure            £</w:t>
            </w:r>
            <w:r>
              <w:t>236</w:t>
            </w:r>
            <w:r w:rsidRPr="00D44C2F">
              <w:t>k</w:t>
            </w:r>
          </w:p>
          <w:p w14:paraId="7BEB5277" w14:textId="77777777" w:rsidR="00231B0C" w:rsidRDefault="00231B0C" w:rsidP="00231B0C">
            <w:pPr>
              <w:ind w:left="0" w:firstLine="0"/>
            </w:pPr>
          </w:p>
          <w:p w14:paraId="0DC78EF4" w14:textId="77777777" w:rsidR="00231B0C" w:rsidRDefault="00231B0C" w:rsidP="00231B0C">
            <w:pPr>
              <w:ind w:left="0" w:firstLine="0"/>
            </w:pPr>
            <w:r>
              <w:t>Bidston Fire suppression</w:t>
            </w:r>
          </w:p>
          <w:p w14:paraId="3BC3D386" w14:textId="77777777" w:rsidR="00231B0C" w:rsidRPr="00D44C2F" w:rsidRDefault="00231B0C" w:rsidP="00231B0C">
            <w:pPr>
              <w:ind w:left="0" w:firstLine="0"/>
            </w:pPr>
            <w:r>
              <w:t xml:space="preserve">                                      £750 (gross)</w:t>
            </w:r>
          </w:p>
          <w:p w14:paraId="62968DF3" w14:textId="77777777" w:rsidR="005303AF" w:rsidRPr="00D44C2F" w:rsidRDefault="005303AF" w:rsidP="005303AF">
            <w:pPr>
              <w:ind w:left="0" w:firstLine="0"/>
            </w:pPr>
          </w:p>
          <w:p w14:paraId="44D08E0D" w14:textId="77777777" w:rsidR="005303AF" w:rsidRPr="00D44C2F" w:rsidRDefault="005303AF" w:rsidP="005303AF">
            <w:pPr>
              <w:ind w:left="0" w:firstLine="0"/>
            </w:pPr>
            <w:r w:rsidRPr="00D44C2F">
              <w:t>For 20</w:t>
            </w:r>
            <w:r w:rsidR="00231B0C">
              <w:t>22</w:t>
            </w:r>
            <w:r w:rsidRPr="00D44C2F">
              <w:t>-2</w:t>
            </w:r>
            <w:r w:rsidR="00231B0C">
              <w:t>23</w:t>
            </w:r>
            <w:r w:rsidRPr="00D44C2F">
              <w:t xml:space="preserve"> </w:t>
            </w:r>
          </w:p>
          <w:p w14:paraId="0FE65C59" w14:textId="77777777" w:rsidR="005303AF" w:rsidRPr="00D44C2F" w:rsidRDefault="005303AF" w:rsidP="005303AF">
            <w:pPr>
              <w:ind w:left="0" w:firstLine="0"/>
            </w:pPr>
            <w:r w:rsidRPr="00D44C2F">
              <w:t>The proposal is as follows:</w:t>
            </w:r>
          </w:p>
          <w:p w14:paraId="13716AB9" w14:textId="77777777" w:rsidR="005303AF" w:rsidRPr="00D44C2F" w:rsidRDefault="005303AF" w:rsidP="005303AF">
            <w:pPr>
              <w:ind w:left="0" w:firstLine="0"/>
            </w:pPr>
          </w:p>
          <w:p w14:paraId="0117EB04" w14:textId="77777777" w:rsidR="005303AF" w:rsidRPr="00D44C2F" w:rsidRDefault="005303AF" w:rsidP="005303AF">
            <w:pPr>
              <w:ind w:left="0" w:firstLine="0"/>
            </w:pPr>
            <w:r w:rsidRPr="00D44C2F">
              <w:t>HWRC access management:</w:t>
            </w:r>
            <w:r w:rsidRPr="00D44C2F">
              <w:br/>
              <w:t xml:space="preserve">Roll Out                       </w:t>
            </w:r>
            <w:r w:rsidR="00CA6057" w:rsidRPr="00D44C2F">
              <w:t xml:space="preserve"> </w:t>
            </w:r>
            <w:r w:rsidRPr="00D44C2F">
              <w:t>£</w:t>
            </w:r>
            <w:r w:rsidR="00231B0C">
              <w:t>20</w:t>
            </w:r>
            <w:r w:rsidRPr="00D44C2F">
              <w:t>k</w:t>
            </w:r>
          </w:p>
          <w:p w14:paraId="0D9FA796" w14:textId="77777777" w:rsidR="00CA6057" w:rsidRPr="00D44C2F" w:rsidRDefault="00CA6057" w:rsidP="003B4CD4">
            <w:pPr>
              <w:ind w:left="0" w:firstLine="0"/>
            </w:pPr>
          </w:p>
          <w:p w14:paraId="40ECE2A3" w14:textId="77777777" w:rsidR="003B4CD4" w:rsidRDefault="003B4CD4" w:rsidP="003B4CD4">
            <w:pPr>
              <w:ind w:left="0" w:firstLine="0"/>
            </w:pPr>
            <w:r w:rsidRPr="00D44C2F">
              <w:t>Infrastructure            £</w:t>
            </w:r>
            <w:r w:rsidR="00231B0C">
              <w:t>275</w:t>
            </w:r>
          </w:p>
          <w:p w14:paraId="5ABF4E95" w14:textId="77777777" w:rsidR="006A667B" w:rsidRDefault="006A667B" w:rsidP="003B4CD4">
            <w:pPr>
              <w:ind w:left="0" w:firstLine="0"/>
            </w:pPr>
          </w:p>
          <w:p w14:paraId="783697AC" w14:textId="77777777" w:rsidR="00CA6057" w:rsidRPr="00D44C2F" w:rsidRDefault="00CA6057" w:rsidP="003B4CD4">
            <w:pPr>
              <w:ind w:left="0" w:firstLine="0"/>
            </w:pPr>
          </w:p>
          <w:p w14:paraId="616590C0" w14:textId="77777777" w:rsidR="00CA6057" w:rsidRPr="00D44C2F" w:rsidRDefault="00CA6057" w:rsidP="00CA6057">
            <w:pPr>
              <w:ind w:left="0" w:firstLine="0"/>
            </w:pPr>
            <w:r w:rsidRPr="00D44C2F">
              <w:t xml:space="preserve">For 2022-23 </w:t>
            </w:r>
          </w:p>
          <w:p w14:paraId="106F0BEA" w14:textId="77777777" w:rsidR="00CA6057" w:rsidRPr="00D44C2F" w:rsidRDefault="00CA6057" w:rsidP="00CA6057">
            <w:pPr>
              <w:ind w:left="0" w:firstLine="0"/>
            </w:pPr>
            <w:r w:rsidRPr="00D44C2F">
              <w:t>The proposal is as follows:</w:t>
            </w:r>
          </w:p>
          <w:p w14:paraId="0F28D4A5" w14:textId="77777777" w:rsidR="00CA6057" w:rsidRPr="00D44C2F" w:rsidRDefault="00CA6057" w:rsidP="00CA6057">
            <w:pPr>
              <w:ind w:left="0" w:firstLine="0"/>
            </w:pPr>
          </w:p>
          <w:p w14:paraId="2C72801B" w14:textId="77777777" w:rsidR="00CA6057" w:rsidRPr="00D44C2F" w:rsidRDefault="00CA6057" w:rsidP="00CA6057">
            <w:pPr>
              <w:ind w:left="0" w:firstLine="0"/>
            </w:pPr>
            <w:r w:rsidRPr="00D44C2F">
              <w:t>HWRC access management:</w:t>
            </w:r>
            <w:r w:rsidRPr="00D44C2F">
              <w:br/>
              <w:t>Roll Out                        £20k</w:t>
            </w:r>
          </w:p>
          <w:p w14:paraId="3FA94E32" w14:textId="77777777" w:rsidR="00CA6057" w:rsidRPr="00D44C2F" w:rsidRDefault="00CA6057" w:rsidP="00CA6057">
            <w:pPr>
              <w:ind w:left="0" w:firstLine="0"/>
            </w:pPr>
          </w:p>
          <w:p w14:paraId="5D29AB74" w14:textId="77777777" w:rsidR="00CA6057" w:rsidRPr="00D44C2F" w:rsidRDefault="00CA6057" w:rsidP="00CA6057">
            <w:pPr>
              <w:ind w:left="0" w:firstLine="0"/>
            </w:pPr>
            <w:r w:rsidRPr="00D44C2F">
              <w:t>Infrastructure            £</w:t>
            </w:r>
            <w:r w:rsidR="00D44C2F" w:rsidRPr="00D44C2F">
              <w:t>27</w:t>
            </w:r>
            <w:r w:rsidRPr="00D44C2F">
              <w:t>5k</w:t>
            </w:r>
          </w:p>
          <w:p w14:paraId="22A3726F" w14:textId="77777777" w:rsidR="00CA6057" w:rsidRPr="00D44C2F" w:rsidRDefault="00CA6057" w:rsidP="003B4CD4">
            <w:pPr>
              <w:ind w:left="0" w:firstLine="0"/>
            </w:pPr>
          </w:p>
          <w:p w14:paraId="7369D860" w14:textId="77777777" w:rsidR="00CA6057" w:rsidRPr="00D44C2F" w:rsidRDefault="00CA6057" w:rsidP="003B4CD4">
            <w:pPr>
              <w:ind w:left="0" w:firstLine="0"/>
            </w:pPr>
          </w:p>
          <w:p w14:paraId="3E9EC2BA" w14:textId="77777777" w:rsidR="003B4CD4" w:rsidRPr="00D44C2F" w:rsidRDefault="003B4CD4" w:rsidP="005303AF">
            <w:pPr>
              <w:ind w:left="0" w:firstLine="0"/>
            </w:pPr>
          </w:p>
          <w:p w14:paraId="6BA12A1E" w14:textId="77777777" w:rsidR="005303AF" w:rsidRPr="00D44C2F" w:rsidRDefault="005303AF" w:rsidP="005303AF">
            <w:pPr>
              <w:ind w:left="0" w:firstLine="0"/>
            </w:pPr>
          </w:p>
          <w:p w14:paraId="20D9A4DB" w14:textId="77777777" w:rsidR="005303AF" w:rsidRPr="00D44C2F" w:rsidRDefault="005303AF" w:rsidP="005303AF">
            <w:pPr>
              <w:ind w:left="0" w:firstLine="0"/>
              <w:rPr>
                <w:b/>
              </w:rPr>
            </w:pPr>
            <w:r w:rsidRPr="00D44C2F">
              <w:rPr>
                <w:b/>
              </w:rPr>
              <w:t>Revenue funding</w:t>
            </w:r>
          </w:p>
          <w:p w14:paraId="58962506" w14:textId="77777777" w:rsidR="005303AF" w:rsidRPr="00D44C2F" w:rsidRDefault="005303AF" w:rsidP="005303AF">
            <w:pPr>
              <w:ind w:left="0" w:firstLine="0"/>
            </w:pPr>
          </w:p>
          <w:p w14:paraId="13172B41" w14:textId="5FEA51E0" w:rsidR="005303AF" w:rsidRPr="00D44C2F" w:rsidRDefault="005303AF" w:rsidP="005303AF">
            <w:pPr>
              <w:ind w:left="0" w:firstLine="0"/>
            </w:pPr>
            <w:r w:rsidRPr="00D44C2F">
              <w:t>For the main RRC and WMRC revenue maintenance is not identified separately from the contract payment. Similarly</w:t>
            </w:r>
            <w:r w:rsidR="00CB264C">
              <w:t>,</w:t>
            </w:r>
            <w:r w:rsidRPr="00D44C2F">
              <w:t xml:space="preserve"> for the lease of the office accommodation no separate line is included.</w:t>
            </w:r>
          </w:p>
          <w:p w14:paraId="7AE30871" w14:textId="77777777" w:rsidR="005303AF" w:rsidRPr="00D44C2F" w:rsidRDefault="005303AF" w:rsidP="005303AF">
            <w:pPr>
              <w:ind w:left="0" w:firstLine="0"/>
            </w:pPr>
          </w:p>
          <w:p w14:paraId="72C7E137" w14:textId="3B53F4EA" w:rsidR="005303AF" w:rsidRPr="00D44C2F" w:rsidRDefault="005303AF" w:rsidP="005303AF">
            <w:pPr>
              <w:ind w:left="0" w:firstLine="0"/>
            </w:pPr>
            <w:r w:rsidRPr="00D44C2F">
              <w:t>For the maintenance of closed landfill sites</w:t>
            </w:r>
            <w:r w:rsidR="00CB264C">
              <w:t>,</w:t>
            </w:r>
            <w:r w:rsidRPr="00D44C2F">
              <w:t xml:space="preserve"> the following amounts are included for maintenance of the assets:</w:t>
            </w:r>
          </w:p>
          <w:p w14:paraId="7917F915" w14:textId="77777777" w:rsidR="005303AF" w:rsidRPr="00D44C2F" w:rsidRDefault="005303AF" w:rsidP="005303AF">
            <w:pPr>
              <w:ind w:left="0" w:firstLine="0"/>
            </w:pPr>
          </w:p>
          <w:p w14:paraId="27BB8F72" w14:textId="77777777" w:rsidR="005303AF" w:rsidRPr="00D44C2F" w:rsidRDefault="0096176F" w:rsidP="005303AF">
            <w:pPr>
              <w:ind w:left="0" w:firstLine="0"/>
            </w:pPr>
            <w:r w:rsidRPr="00D44C2F">
              <w:t>20</w:t>
            </w:r>
            <w:r w:rsidR="005303AF" w:rsidRPr="00D44C2F">
              <w:t>2</w:t>
            </w:r>
            <w:r w:rsidRPr="00D44C2F">
              <w:t>0-21</w:t>
            </w:r>
            <w:r w:rsidR="005303AF" w:rsidRPr="00D44C2F">
              <w:t xml:space="preserve">     £</w:t>
            </w:r>
            <w:r w:rsidR="00231B0C">
              <w:t>371</w:t>
            </w:r>
            <w:r w:rsidR="00D44C2F">
              <w:t>k</w:t>
            </w:r>
          </w:p>
          <w:p w14:paraId="617AC2C8" w14:textId="77777777" w:rsidR="005303AF" w:rsidRPr="00D44C2F" w:rsidRDefault="005303AF" w:rsidP="005303AF">
            <w:pPr>
              <w:ind w:left="0" w:firstLine="0"/>
            </w:pPr>
            <w:r w:rsidRPr="00D44C2F">
              <w:t>202</w:t>
            </w:r>
            <w:r w:rsidR="0096176F" w:rsidRPr="00D44C2F">
              <w:t>1</w:t>
            </w:r>
            <w:r w:rsidRPr="00D44C2F">
              <w:t>-2</w:t>
            </w:r>
            <w:r w:rsidR="0096176F" w:rsidRPr="00D44C2F">
              <w:t>2</w:t>
            </w:r>
            <w:r w:rsidRPr="00D44C2F">
              <w:t xml:space="preserve">     £</w:t>
            </w:r>
            <w:r w:rsidR="00231B0C">
              <w:t>329</w:t>
            </w:r>
            <w:r w:rsidR="003B4CD4" w:rsidRPr="00D44C2F">
              <w:t>k</w:t>
            </w:r>
          </w:p>
          <w:p w14:paraId="3D8F5F9A" w14:textId="77777777" w:rsidR="003B4CD4" w:rsidRDefault="003B4CD4" w:rsidP="0096176F">
            <w:pPr>
              <w:ind w:left="0" w:firstLine="0"/>
            </w:pPr>
            <w:r w:rsidRPr="00D44C2F">
              <w:t>202</w:t>
            </w:r>
            <w:r w:rsidR="0096176F" w:rsidRPr="00D44C2F">
              <w:t>2</w:t>
            </w:r>
            <w:r w:rsidRPr="00D44C2F">
              <w:t>-2</w:t>
            </w:r>
            <w:r w:rsidR="0096176F" w:rsidRPr="00D44C2F">
              <w:t>3</w:t>
            </w:r>
            <w:r w:rsidR="00D44C2F">
              <w:t xml:space="preserve">     £</w:t>
            </w:r>
            <w:r w:rsidR="00231B0C">
              <w:t>407</w:t>
            </w:r>
            <w:r w:rsidRPr="00D44C2F">
              <w:t>k</w:t>
            </w:r>
          </w:p>
          <w:p w14:paraId="405374D5" w14:textId="77777777" w:rsidR="00231B0C" w:rsidRPr="00D44C2F" w:rsidRDefault="00231B0C" w:rsidP="0096176F">
            <w:pPr>
              <w:ind w:left="0" w:firstLine="0"/>
            </w:pPr>
            <w:r>
              <w:t>2023-24     £394k</w:t>
            </w:r>
          </w:p>
        </w:tc>
      </w:tr>
      <w:tr w:rsidR="005303AF" w:rsidRPr="00191331" w14:paraId="7F0039AD" w14:textId="77777777" w:rsidTr="00FF4942">
        <w:tc>
          <w:tcPr>
            <w:tcW w:w="3543" w:type="dxa"/>
          </w:tcPr>
          <w:p w14:paraId="476DD5C9" w14:textId="77777777" w:rsidR="005303AF" w:rsidRDefault="005303AF" w:rsidP="005303AF">
            <w:pPr>
              <w:ind w:left="0" w:firstLine="0"/>
              <w:rPr>
                <w:b/>
              </w:rPr>
            </w:pPr>
          </w:p>
        </w:tc>
        <w:tc>
          <w:tcPr>
            <w:tcW w:w="3543" w:type="dxa"/>
          </w:tcPr>
          <w:p w14:paraId="5BAF6279" w14:textId="77777777" w:rsidR="005303AF" w:rsidRDefault="005303AF" w:rsidP="005303AF">
            <w:pPr>
              <w:ind w:left="0" w:firstLine="0"/>
              <w:rPr>
                <w:b/>
              </w:rPr>
            </w:pPr>
          </w:p>
        </w:tc>
        <w:tc>
          <w:tcPr>
            <w:tcW w:w="3544" w:type="dxa"/>
          </w:tcPr>
          <w:p w14:paraId="7261AFB8" w14:textId="77777777" w:rsidR="005303AF" w:rsidRDefault="005303AF" w:rsidP="005303AF">
            <w:pPr>
              <w:ind w:left="0" w:firstLine="0"/>
              <w:rPr>
                <w:b/>
              </w:rPr>
            </w:pPr>
          </w:p>
        </w:tc>
        <w:tc>
          <w:tcPr>
            <w:tcW w:w="3544" w:type="dxa"/>
          </w:tcPr>
          <w:p w14:paraId="289F1809" w14:textId="77777777" w:rsidR="005303AF" w:rsidRDefault="005303AF" w:rsidP="005303AF">
            <w:pPr>
              <w:ind w:left="0" w:firstLine="0"/>
              <w:rPr>
                <w:b/>
              </w:rPr>
            </w:pPr>
            <w:r>
              <w:rPr>
                <w:b/>
              </w:rPr>
              <w:t>Funding</w:t>
            </w:r>
          </w:p>
          <w:p w14:paraId="7A69E436" w14:textId="77777777" w:rsidR="005303AF" w:rsidRDefault="005303AF" w:rsidP="005303AF">
            <w:pPr>
              <w:ind w:left="0" w:firstLine="0"/>
              <w:rPr>
                <w:b/>
              </w:rPr>
            </w:pPr>
          </w:p>
          <w:p w14:paraId="4B64EEBE" w14:textId="77777777" w:rsidR="005303AF" w:rsidRDefault="005303AF" w:rsidP="005303AF">
            <w:pPr>
              <w:ind w:left="0" w:firstLine="0"/>
              <w:rPr>
                <w:b/>
              </w:rPr>
            </w:pPr>
            <w:r>
              <w:rPr>
                <w:b/>
              </w:rPr>
              <w:t>Capital programme</w:t>
            </w:r>
          </w:p>
          <w:p w14:paraId="7A27C410" w14:textId="77777777" w:rsidR="005303AF" w:rsidRDefault="005303AF" w:rsidP="005303AF">
            <w:pPr>
              <w:ind w:left="0" w:firstLine="0"/>
              <w:rPr>
                <w:b/>
              </w:rPr>
            </w:pPr>
          </w:p>
          <w:p w14:paraId="6299A03B" w14:textId="77777777" w:rsidR="005303AF" w:rsidRPr="00D44C2F" w:rsidRDefault="00BD2EEE" w:rsidP="005303AF">
            <w:pPr>
              <w:ind w:left="0" w:firstLine="0"/>
            </w:pPr>
            <w:r w:rsidRPr="00D44C2F">
              <w:t>2020-21</w:t>
            </w:r>
          </w:p>
          <w:p w14:paraId="3AA4F28B" w14:textId="77777777" w:rsidR="005303AF" w:rsidRPr="00D44C2F" w:rsidRDefault="005303AF" w:rsidP="005303AF">
            <w:pPr>
              <w:ind w:left="0" w:firstLine="0"/>
            </w:pPr>
            <w:r w:rsidRPr="00D44C2F">
              <w:t>PWLB new borrowing – up to £</w:t>
            </w:r>
            <w:r w:rsidR="00231B0C">
              <w:t>237</w:t>
            </w:r>
            <w:r w:rsidRPr="00D44C2F">
              <w:t>k</w:t>
            </w:r>
          </w:p>
          <w:p w14:paraId="64F982AE" w14:textId="77777777" w:rsidR="005303AF" w:rsidRPr="00D44C2F" w:rsidRDefault="005303AF" w:rsidP="005303AF">
            <w:pPr>
              <w:ind w:left="0" w:firstLine="0"/>
            </w:pPr>
          </w:p>
          <w:p w14:paraId="5317324A" w14:textId="77777777" w:rsidR="005303AF" w:rsidRPr="00D44C2F" w:rsidRDefault="00BD2EEE" w:rsidP="005303AF">
            <w:pPr>
              <w:ind w:left="0" w:firstLine="0"/>
            </w:pPr>
            <w:r w:rsidRPr="00D44C2F">
              <w:t>2021-22</w:t>
            </w:r>
          </w:p>
          <w:p w14:paraId="3BF11BFF" w14:textId="77777777" w:rsidR="005303AF" w:rsidRPr="00D44C2F" w:rsidRDefault="005303AF" w:rsidP="005303AF">
            <w:pPr>
              <w:ind w:left="0" w:firstLine="0"/>
            </w:pPr>
            <w:r w:rsidRPr="00D44C2F">
              <w:t>PWLB new borrowing – up to £</w:t>
            </w:r>
            <w:r w:rsidR="00231B0C">
              <w:t>1.206</w:t>
            </w:r>
            <w:r w:rsidRPr="00D44C2F">
              <w:t>k</w:t>
            </w:r>
          </w:p>
          <w:p w14:paraId="2BCBDAAF" w14:textId="77777777" w:rsidR="003B4CD4" w:rsidRPr="00D44C2F" w:rsidRDefault="003B4CD4" w:rsidP="005303AF">
            <w:pPr>
              <w:ind w:left="0" w:firstLine="0"/>
            </w:pPr>
          </w:p>
          <w:p w14:paraId="46912545" w14:textId="77777777" w:rsidR="003B4CD4" w:rsidRPr="00D44C2F" w:rsidRDefault="00BD2EEE" w:rsidP="003B4CD4">
            <w:pPr>
              <w:ind w:left="0" w:firstLine="0"/>
            </w:pPr>
            <w:r w:rsidRPr="00D44C2F">
              <w:t>2022-23</w:t>
            </w:r>
          </w:p>
          <w:p w14:paraId="494F9CA9" w14:textId="77777777" w:rsidR="003B4CD4" w:rsidRDefault="003B4CD4" w:rsidP="003B4CD4">
            <w:pPr>
              <w:ind w:left="0" w:firstLine="0"/>
            </w:pPr>
            <w:r w:rsidRPr="00D44C2F">
              <w:lastRenderedPageBreak/>
              <w:t>PWLB new borrowing – up to £</w:t>
            </w:r>
            <w:r w:rsidR="00D44C2F" w:rsidRPr="00D44C2F">
              <w:t>295</w:t>
            </w:r>
            <w:r w:rsidRPr="00D44C2F">
              <w:t>k</w:t>
            </w:r>
          </w:p>
          <w:p w14:paraId="0E39DC02" w14:textId="77777777" w:rsidR="00231B0C" w:rsidRDefault="00231B0C" w:rsidP="003B4CD4">
            <w:pPr>
              <w:ind w:left="0" w:firstLine="0"/>
            </w:pPr>
          </w:p>
          <w:p w14:paraId="5CB9FFAF" w14:textId="77777777" w:rsidR="00231B0C" w:rsidRDefault="00231B0C" w:rsidP="003B4CD4">
            <w:pPr>
              <w:ind w:left="0" w:firstLine="0"/>
            </w:pPr>
            <w:r>
              <w:t>2023-24</w:t>
            </w:r>
          </w:p>
          <w:p w14:paraId="6692B6F0" w14:textId="77777777" w:rsidR="00231B0C" w:rsidRPr="00D44C2F" w:rsidRDefault="00231B0C" w:rsidP="003B4CD4">
            <w:pPr>
              <w:ind w:left="0" w:firstLine="0"/>
            </w:pPr>
            <w:r>
              <w:t>PWLB new borrowing – up to £295k</w:t>
            </w:r>
          </w:p>
          <w:p w14:paraId="2580F147" w14:textId="77777777" w:rsidR="003B4CD4" w:rsidRPr="00BD2EEE" w:rsidRDefault="003B4CD4" w:rsidP="005303AF">
            <w:pPr>
              <w:ind w:left="0" w:firstLine="0"/>
            </w:pPr>
          </w:p>
          <w:p w14:paraId="5EB4ED55" w14:textId="77777777" w:rsidR="005303AF" w:rsidRPr="00BD2EEE" w:rsidRDefault="005303AF" w:rsidP="005303AF">
            <w:pPr>
              <w:ind w:left="0" w:firstLine="0"/>
            </w:pPr>
          </w:p>
          <w:p w14:paraId="5E01CD17" w14:textId="77777777" w:rsidR="005303AF" w:rsidRPr="00BD2EEE" w:rsidRDefault="005303AF" w:rsidP="005303AF">
            <w:pPr>
              <w:ind w:left="0" w:firstLine="0"/>
              <w:rPr>
                <w:b/>
              </w:rPr>
            </w:pPr>
            <w:r w:rsidRPr="00BD2EEE">
              <w:rPr>
                <w:b/>
              </w:rPr>
              <w:t>Revenue</w:t>
            </w:r>
          </w:p>
          <w:p w14:paraId="0625C4D3" w14:textId="77777777" w:rsidR="005303AF" w:rsidRPr="00BD2EEE" w:rsidRDefault="005303AF" w:rsidP="005303AF">
            <w:pPr>
              <w:ind w:left="0" w:firstLine="0"/>
            </w:pPr>
          </w:p>
          <w:p w14:paraId="71FC817B" w14:textId="77777777" w:rsidR="005303AF" w:rsidRDefault="005303AF" w:rsidP="005303AF">
            <w:pPr>
              <w:ind w:left="0" w:firstLine="0"/>
              <w:rPr>
                <w:b/>
              </w:rPr>
            </w:pPr>
            <w:r w:rsidRPr="00BD2EEE">
              <w:t>Funding to be met from Levy charged to constituent District Councils.</w:t>
            </w:r>
          </w:p>
        </w:tc>
      </w:tr>
    </w:tbl>
    <w:p w14:paraId="46B19490" w14:textId="77777777" w:rsidR="005303AF" w:rsidRDefault="005303AF" w:rsidP="005303AF"/>
    <w:p w14:paraId="259D35C0" w14:textId="77777777" w:rsidR="005303AF" w:rsidRPr="002C4860" w:rsidRDefault="005303AF" w:rsidP="005303AF">
      <w:pPr>
        <w:rPr>
          <w:b/>
          <w:sz w:val="28"/>
          <w:szCs w:val="28"/>
        </w:rPr>
      </w:pPr>
      <w:r w:rsidRPr="002C4860">
        <w:rPr>
          <w:b/>
          <w:sz w:val="28"/>
          <w:szCs w:val="28"/>
        </w:rPr>
        <w:t>Treasury management</w:t>
      </w:r>
    </w:p>
    <w:p w14:paraId="1B23CDA2" w14:textId="71A20F0D" w:rsidR="005303AF" w:rsidRDefault="005303AF" w:rsidP="005303AF">
      <w:pPr>
        <w:ind w:left="0" w:firstLine="0"/>
      </w:pPr>
      <w:r>
        <w:t>The Authority’s Treasury management is carried out under the terms of a service level agreement by St Helens Council. The Council manages a portfolio of borrowings that supported capital programmes from prior periods. The Council also work alongside Treasury Management advisers, Link Asset Services, to ensure that the portfolio of loans is kept under review to ensure the best economic terms are being obtained. The Authority is also supported on those occasions where there is a surplus of funds, by ensuring the Council uses its Treasury managers and adviser to obtain the terms best suited to the Council and the Authority. These kinds of Treasury Management investments are considered in terms of security, liquidity and yield. As they represent an investment of public sector monies, security is given a high priority. That the funds may only be invested for a few days due to cash-flow requirements ensures that liquidity is also important. Finally</w:t>
      </w:r>
      <w:r w:rsidR="003B00C8">
        <w:t>,</w:t>
      </w:r>
      <w:r>
        <w:t xml:space="preserve"> the return on the investment, or yield, will be considered. Whilst this may provide for a relatively conservative approach to Treasury Management it ensures that the Authority’s monies are secure, available and where possible gain a reasonable return. Over the longer</w:t>
      </w:r>
      <w:r w:rsidR="003B00C8">
        <w:t>-</w:t>
      </w:r>
      <w:r>
        <w:t>term results have shown that the St Helens Treasury Managers have achieved results that are ahead of the market across the investment portfolio.</w:t>
      </w:r>
    </w:p>
    <w:p w14:paraId="4794933F" w14:textId="77777777" w:rsidR="005303AF" w:rsidRDefault="005303AF" w:rsidP="005303AF">
      <w:pPr>
        <w:ind w:left="0" w:firstLine="0"/>
      </w:pPr>
      <w:r>
        <w:t>The Authority has not used any unusual Treasury Management approaches to borrow monies with a view to investing those funds elsewhere for commercial purposes, this is largely because the general powers to do so are uncertain and MRWA’s access to those general powers is very limited. This ensures that the levels of risks taken by the Authority are not significantly higher than would be expected in normal operations.</w:t>
      </w:r>
    </w:p>
    <w:p w14:paraId="29E1B819" w14:textId="77777777" w:rsidR="00231B0C" w:rsidRDefault="00231B0C" w:rsidP="005303AF">
      <w:pPr>
        <w:ind w:left="0" w:firstLine="0"/>
      </w:pPr>
    </w:p>
    <w:tbl>
      <w:tblPr>
        <w:tblStyle w:val="TableGrid"/>
        <w:tblW w:w="0" w:type="auto"/>
        <w:tblLook w:val="04A0" w:firstRow="1" w:lastRow="0" w:firstColumn="1" w:lastColumn="0" w:noHBand="0" w:noVBand="1"/>
      </w:tblPr>
      <w:tblGrid>
        <w:gridCol w:w="3114"/>
        <w:gridCol w:w="3092"/>
        <w:gridCol w:w="3077"/>
        <w:gridCol w:w="4665"/>
      </w:tblGrid>
      <w:tr w:rsidR="0060041C" w14:paraId="30945213" w14:textId="77777777" w:rsidTr="0060041C">
        <w:tc>
          <w:tcPr>
            <w:tcW w:w="3187" w:type="dxa"/>
          </w:tcPr>
          <w:p w14:paraId="53605340" w14:textId="77777777" w:rsidR="0060041C" w:rsidRDefault="0060041C" w:rsidP="0060041C">
            <w:pPr>
              <w:rPr>
                <w:b/>
              </w:rPr>
            </w:pPr>
            <w:r>
              <w:rPr>
                <w:b/>
              </w:rPr>
              <w:lastRenderedPageBreak/>
              <w:t>Corporate Aim 1</w:t>
            </w:r>
          </w:p>
          <w:p w14:paraId="3166929F" w14:textId="77777777" w:rsidR="0060041C" w:rsidRDefault="0060041C" w:rsidP="0060041C">
            <w:pPr>
              <w:rPr>
                <w:b/>
              </w:rPr>
            </w:pPr>
          </w:p>
          <w:p w14:paraId="4713A578" w14:textId="77777777" w:rsidR="0060041C" w:rsidRDefault="0060041C" w:rsidP="0060041C">
            <w:pPr>
              <w:ind w:left="0" w:firstLine="0"/>
              <w:rPr>
                <w:b/>
              </w:rPr>
            </w:pPr>
            <w:r>
              <w:rPr>
                <w:b/>
              </w:rPr>
              <w:t>IMPROVE THE SUSTAINABLE MANAGEMENT OF WASTE AND RESOURCE</w:t>
            </w:r>
          </w:p>
        </w:tc>
        <w:tc>
          <w:tcPr>
            <w:tcW w:w="3181" w:type="dxa"/>
          </w:tcPr>
          <w:p w14:paraId="57BFBFEA" w14:textId="77777777" w:rsidR="0060041C" w:rsidRDefault="0060041C" w:rsidP="0060041C">
            <w:pPr>
              <w:rPr>
                <w:rFonts w:ascii="Calibri" w:eastAsia="Calibri" w:hAnsi="Calibri" w:cs="Times New Roman"/>
                <w:b/>
              </w:rPr>
            </w:pPr>
            <w:r>
              <w:rPr>
                <w:rFonts w:ascii="Calibri" w:eastAsia="Calibri" w:hAnsi="Calibri" w:cs="Times New Roman"/>
                <w:b/>
              </w:rPr>
              <w:t>Corporate aim 2</w:t>
            </w:r>
          </w:p>
          <w:p w14:paraId="72324D3F" w14:textId="77777777" w:rsidR="0060041C" w:rsidRDefault="0060041C" w:rsidP="0060041C">
            <w:pPr>
              <w:rPr>
                <w:rFonts w:ascii="Calibri" w:eastAsia="Calibri" w:hAnsi="Calibri" w:cs="Times New Roman"/>
                <w:b/>
              </w:rPr>
            </w:pPr>
          </w:p>
          <w:p w14:paraId="0ECA508B" w14:textId="77777777" w:rsidR="0060041C" w:rsidRDefault="0060041C" w:rsidP="0060041C">
            <w:pPr>
              <w:ind w:left="0" w:firstLine="0"/>
              <w:rPr>
                <w:rFonts w:ascii="Calibri" w:eastAsia="Calibri" w:hAnsi="Calibri" w:cs="Times New Roman"/>
                <w:b/>
              </w:rPr>
            </w:pPr>
            <w:r>
              <w:rPr>
                <w:rFonts w:ascii="Calibri" w:eastAsia="Calibri" w:hAnsi="Calibri" w:cs="Times New Roman"/>
                <w:b/>
              </w:rPr>
              <w:t>WE WILL DELIVER EFFECTIVE WASTE SERVICES</w:t>
            </w:r>
          </w:p>
        </w:tc>
        <w:tc>
          <w:tcPr>
            <w:tcW w:w="3141" w:type="dxa"/>
          </w:tcPr>
          <w:p w14:paraId="02809248" w14:textId="77777777" w:rsidR="0060041C" w:rsidRDefault="0060041C" w:rsidP="0060041C">
            <w:pPr>
              <w:ind w:left="0" w:firstLine="0"/>
              <w:rPr>
                <w:b/>
              </w:rPr>
            </w:pPr>
            <w:r>
              <w:rPr>
                <w:b/>
              </w:rPr>
              <w:t>Corporate aim 3</w:t>
            </w:r>
          </w:p>
          <w:p w14:paraId="197886F6" w14:textId="77777777" w:rsidR="0060041C" w:rsidRDefault="0060041C" w:rsidP="0060041C">
            <w:pPr>
              <w:ind w:left="0" w:firstLine="0"/>
              <w:rPr>
                <w:b/>
              </w:rPr>
            </w:pPr>
          </w:p>
          <w:p w14:paraId="3FDE44B1" w14:textId="77777777" w:rsidR="0060041C" w:rsidRDefault="0060041C" w:rsidP="0060041C">
            <w:pPr>
              <w:ind w:left="0" w:firstLine="0"/>
              <w:rPr>
                <w:b/>
              </w:rPr>
            </w:pPr>
            <w:r>
              <w:rPr>
                <w:b/>
              </w:rPr>
              <w:t>CO-OPERATE TO IMPR</w:t>
            </w:r>
            <w:r w:rsidR="00B4135F">
              <w:rPr>
                <w:b/>
              </w:rPr>
              <w:t>O</w:t>
            </w:r>
            <w:r>
              <w:rPr>
                <w:b/>
              </w:rPr>
              <w:t>VE WORKING ARRANGEMENTS</w:t>
            </w:r>
          </w:p>
        </w:tc>
        <w:tc>
          <w:tcPr>
            <w:tcW w:w="4665" w:type="dxa"/>
          </w:tcPr>
          <w:p w14:paraId="4CFE030E" w14:textId="77777777" w:rsidR="0060041C" w:rsidRDefault="0060041C" w:rsidP="0060041C">
            <w:pPr>
              <w:rPr>
                <w:b/>
              </w:rPr>
            </w:pPr>
            <w:r>
              <w:rPr>
                <w:b/>
              </w:rPr>
              <w:t>Corporate aim 4</w:t>
            </w:r>
          </w:p>
          <w:p w14:paraId="47C8183C" w14:textId="77777777" w:rsidR="0060041C" w:rsidRDefault="0060041C" w:rsidP="0060041C">
            <w:pPr>
              <w:rPr>
                <w:b/>
              </w:rPr>
            </w:pPr>
          </w:p>
          <w:p w14:paraId="6256A211" w14:textId="77777777" w:rsidR="0060041C" w:rsidRDefault="0060041C" w:rsidP="0060041C">
            <w:pPr>
              <w:ind w:left="0" w:firstLine="0"/>
              <w:rPr>
                <w:b/>
              </w:rPr>
            </w:pPr>
            <w:r>
              <w:rPr>
                <w:b/>
              </w:rPr>
              <w:t>MEASURE AND REPORT ON CLIMATE CHANGE IMPACTS AND SUSTAINABILITY IMPROVEMENTS</w:t>
            </w:r>
          </w:p>
        </w:tc>
      </w:tr>
      <w:tr w:rsidR="005303AF" w14:paraId="051E1336" w14:textId="77777777" w:rsidTr="0060041C">
        <w:tc>
          <w:tcPr>
            <w:tcW w:w="3187" w:type="dxa"/>
          </w:tcPr>
          <w:p w14:paraId="451D6BF5" w14:textId="77777777" w:rsidR="005303AF" w:rsidRPr="00191331" w:rsidRDefault="005303AF" w:rsidP="005303AF">
            <w:pPr>
              <w:ind w:left="0" w:firstLine="0"/>
              <w:rPr>
                <w:b/>
              </w:rPr>
            </w:pPr>
          </w:p>
        </w:tc>
        <w:tc>
          <w:tcPr>
            <w:tcW w:w="3181" w:type="dxa"/>
          </w:tcPr>
          <w:p w14:paraId="14C373AB" w14:textId="77777777" w:rsidR="005303AF" w:rsidRPr="00191331" w:rsidRDefault="005303AF" w:rsidP="005303AF">
            <w:pPr>
              <w:ind w:left="0" w:firstLine="0"/>
              <w:rPr>
                <w:b/>
              </w:rPr>
            </w:pPr>
          </w:p>
        </w:tc>
        <w:tc>
          <w:tcPr>
            <w:tcW w:w="3141" w:type="dxa"/>
          </w:tcPr>
          <w:p w14:paraId="29391C8C" w14:textId="77777777" w:rsidR="005303AF" w:rsidRPr="00191331" w:rsidRDefault="005303AF" w:rsidP="005303AF">
            <w:pPr>
              <w:ind w:left="0" w:firstLine="0"/>
              <w:rPr>
                <w:b/>
              </w:rPr>
            </w:pPr>
          </w:p>
        </w:tc>
        <w:tc>
          <w:tcPr>
            <w:tcW w:w="4665" w:type="dxa"/>
          </w:tcPr>
          <w:p w14:paraId="0F08EDE5" w14:textId="77777777" w:rsidR="005303AF" w:rsidRPr="00A67808" w:rsidRDefault="005303AF" w:rsidP="005303AF">
            <w:pPr>
              <w:ind w:left="0" w:firstLine="0"/>
              <w:rPr>
                <w:b/>
              </w:rPr>
            </w:pPr>
            <w:r w:rsidRPr="00A67808">
              <w:rPr>
                <w:b/>
              </w:rPr>
              <w:t>The Authority adopts the CIPFA Treasury Management Code</w:t>
            </w:r>
          </w:p>
          <w:p w14:paraId="649B2528" w14:textId="77777777" w:rsidR="005303AF" w:rsidRPr="00A67808" w:rsidRDefault="005303AF" w:rsidP="005303AF">
            <w:pPr>
              <w:ind w:left="0" w:firstLine="0"/>
              <w:rPr>
                <w:b/>
              </w:rPr>
            </w:pPr>
          </w:p>
          <w:p w14:paraId="2EED6DDD" w14:textId="77777777" w:rsidR="005303AF" w:rsidRPr="00A67808" w:rsidRDefault="005303AF" w:rsidP="005303AF">
            <w:pPr>
              <w:ind w:left="0" w:firstLine="0"/>
            </w:pPr>
            <w:r w:rsidRPr="00A67808">
              <w:t>The CIPFA prudential indicators underpin the Authority’s borrowing.</w:t>
            </w:r>
          </w:p>
          <w:p w14:paraId="659C7433" w14:textId="77777777" w:rsidR="005303AF" w:rsidRPr="00A67808" w:rsidRDefault="005303AF" w:rsidP="005303AF">
            <w:pPr>
              <w:ind w:left="0" w:firstLine="0"/>
              <w:rPr>
                <w:b/>
              </w:rPr>
            </w:pPr>
          </w:p>
          <w:p w14:paraId="3E22BC38" w14:textId="77777777" w:rsidR="005303AF" w:rsidRPr="00A67808" w:rsidRDefault="005303AF" w:rsidP="005303AF">
            <w:pPr>
              <w:ind w:left="0" w:firstLine="0"/>
              <w:rPr>
                <w:b/>
              </w:rPr>
            </w:pPr>
            <w:r w:rsidRPr="00A67808">
              <w:rPr>
                <w:b/>
              </w:rPr>
              <w:t>MRWA Borrowing portfolio:</w:t>
            </w:r>
          </w:p>
          <w:p w14:paraId="559B7534" w14:textId="77777777" w:rsidR="005303AF" w:rsidRPr="00A67808" w:rsidRDefault="005303AF" w:rsidP="005303AF">
            <w:pPr>
              <w:ind w:left="0" w:firstLine="0"/>
              <w:rPr>
                <w:b/>
              </w:rPr>
            </w:pPr>
          </w:p>
          <w:p w14:paraId="47EC22F5" w14:textId="77777777" w:rsidR="005303AF" w:rsidRPr="00A67808" w:rsidRDefault="005303AF" w:rsidP="005303AF">
            <w:pPr>
              <w:ind w:left="0" w:firstLine="0"/>
            </w:pPr>
            <w:r w:rsidRPr="00A67808">
              <w:t>The Authority currently has a borrowing portfolio of:</w:t>
            </w:r>
          </w:p>
          <w:p w14:paraId="4905ED64" w14:textId="77777777" w:rsidR="005303AF" w:rsidRPr="00BD2EEE" w:rsidRDefault="005303AF" w:rsidP="005303AF">
            <w:pPr>
              <w:ind w:left="0" w:firstLine="0"/>
              <w:rPr>
                <w:color w:val="FF0000"/>
              </w:rPr>
            </w:pPr>
          </w:p>
          <w:tbl>
            <w:tblPr>
              <w:tblStyle w:val="TableGrid"/>
              <w:tblW w:w="3338" w:type="dxa"/>
              <w:tblInd w:w="1101" w:type="dxa"/>
              <w:tblLook w:val="04A0" w:firstRow="1" w:lastRow="0" w:firstColumn="1" w:lastColumn="0" w:noHBand="0" w:noVBand="1"/>
            </w:tblPr>
            <w:tblGrid>
              <w:gridCol w:w="1351"/>
              <w:gridCol w:w="1016"/>
              <w:gridCol w:w="971"/>
            </w:tblGrid>
            <w:tr w:rsidR="00D44C2F" w:rsidRPr="00BD2EEE" w14:paraId="17301396" w14:textId="77777777" w:rsidTr="00FF4942">
              <w:trPr>
                <w:trHeight w:val="799"/>
              </w:trPr>
              <w:tc>
                <w:tcPr>
                  <w:tcW w:w="1351" w:type="dxa"/>
                  <w:tcBorders>
                    <w:bottom w:val="single" w:sz="4" w:space="0" w:color="auto"/>
                  </w:tcBorders>
                </w:tcPr>
                <w:p w14:paraId="0370EDBF" w14:textId="77777777" w:rsidR="00D44C2F" w:rsidRPr="00980FBE" w:rsidRDefault="00D44C2F" w:rsidP="00A67808">
                  <w:pPr>
                    <w:ind w:left="0" w:firstLine="0"/>
                    <w:rPr>
                      <w:b/>
                    </w:rPr>
                  </w:pPr>
                  <w:r w:rsidRPr="00980FBE">
                    <w:rPr>
                      <w:b/>
                    </w:rPr>
                    <w:t xml:space="preserve">Outstanding debt at </w:t>
                  </w:r>
                  <w:r>
                    <w:rPr>
                      <w:b/>
                    </w:rPr>
                    <w:t>15/1/2020</w:t>
                  </w:r>
                </w:p>
              </w:tc>
              <w:tc>
                <w:tcPr>
                  <w:tcW w:w="1016" w:type="dxa"/>
                  <w:tcBorders>
                    <w:bottom w:val="single" w:sz="4" w:space="0" w:color="auto"/>
                  </w:tcBorders>
                </w:tcPr>
                <w:p w14:paraId="1E5D78C1" w14:textId="77777777" w:rsidR="00D44C2F" w:rsidRPr="00980FBE" w:rsidRDefault="00D44C2F" w:rsidP="00A67808">
                  <w:pPr>
                    <w:ind w:left="0" w:firstLine="0"/>
                    <w:jc w:val="center"/>
                    <w:rPr>
                      <w:b/>
                    </w:rPr>
                  </w:pPr>
                  <w:r w:rsidRPr="00980FBE">
                    <w:rPr>
                      <w:b/>
                    </w:rPr>
                    <w:t>Principal</w:t>
                  </w:r>
                </w:p>
                <w:p w14:paraId="02EE38B8" w14:textId="77777777" w:rsidR="00D44C2F" w:rsidRPr="00980FBE" w:rsidRDefault="00D44C2F" w:rsidP="00A67808">
                  <w:pPr>
                    <w:ind w:left="0" w:firstLine="0"/>
                    <w:jc w:val="center"/>
                    <w:rPr>
                      <w:b/>
                    </w:rPr>
                  </w:pPr>
                  <w:r w:rsidRPr="00980FBE">
                    <w:rPr>
                      <w:b/>
                    </w:rPr>
                    <w:t>£M</w:t>
                  </w:r>
                </w:p>
              </w:tc>
              <w:tc>
                <w:tcPr>
                  <w:tcW w:w="971" w:type="dxa"/>
                  <w:tcBorders>
                    <w:bottom w:val="single" w:sz="4" w:space="0" w:color="auto"/>
                  </w:tcBorders>
                </w:tcPr>
                <w:p w14:paraId="08028B97" w14:textId="77777777" w:rsidR="00D44C2F" w:rsidRPr="00980FBE" w:rsidRDefault="00D44C2F" w:rsidP="00A67808">
                  <w:pPr>
                    <w:ind w:left="0" w:firstLine="0"/>
                    <w:jc w:val="center"/>
                    <w:rPr>
                      <w:b/>
                    </w:rPr>
                  </w:pPr>
                  <w:r w:rsidRPr="00980FBE">
                    <w:rPr>
                      <w:b/>
                    </w:rPr>
                    <w:t>Average rate</w:t>
                  </w:r>
                </w:p>
                <w:p w14:paraId="64B1E1CB" w14:textId="77777777" w:rsidR="00D44C2F" w:rsidRPr="00980FBE" w:rsidRDefault="00D44C2F" w:rsidP="00A67808">
                  <w:pPr>
                    <w:ind w:left="0" w:firstLine="0"/>
                    <w:jc w:val="center"/>
                    <w:rPr>
                      <w:b/>
                    </w:rPr>
                  </w:pPr>
                  <w:r w:rsidRPr="00980FBE">
                    <w:rPr>
                      <w:b/>
                    </w:rPr>
                    <w:t>%</w:t>
                  </w:r>
                </w:p>
              </w:tc>
            </w:tr>
            <w:tr w:rsidR="00D44C2F" w:rsidRPr="00BD2EEE" w14:paraId="1BDF04ED" w14:textId="77777777" w:rsidTr="00FF4942">
              <w:trPr>
                <w:trHeight w:val="543"/>
              </w:trPr>
              <w:tc>
                <w:tcPr>
                  <w:tcW w:w="1351" w:type="dxa"/>
                  <w:tcBorders>
                    <w:bottom w:val="nil"/>
                  </w:tcBorders>
                </w:tcPr>
                <w:p w14:paraId="2A6C2CCC" w14:textId="77777777" w:rsidR="00D44C2F" w:rsidRPr="00980FBE" w:rsidRDefault="00D44C2F" w:rsidP="00A67808">
                  <w:pPr>
                    <w:ind w:left="0" w:firstLine="0"/>
                  </w:pPr>
                  <w:r w:rsidRPr="00980FBE">
                    <w:t>Public Works Loan Board (PWLB) debt</w:t>
                  </w:r>
                </w:p>
              </w:tc>
              <w:tc>
                <w:tcPr>
                  <w:tcW w:w="1016" w:type="dxa"/>
                  <w:tcBorders>
                    <w:bottom w:val="nil"/>
                  </w:tcBorders>
                </w:tcPr>
                <w:p w14:paraId="12FF56A5" w14:textId="77777777" w:rsidR="00D44C2F" w:rsidRPr="002D7CC8" w:rsidRDefault="00D44C2F" w:rsidP="00A67808">
                  <w:pPr>
                    <w:ind w:left="0" w:firstLine="0"/>
                    <w:jc w:val="center"/>
                  </w:pPr>
                  <w:r>
                    <w:t>39.830</w:t>
                  </w:r>
                </w:p>
              </w:tc>
              <w:tc>
                <w:tcPr>
                  <w:tcW w:w="971" w:type="dxa"/>
                  <w:tcBorders>
                    <w:bottom w:val="nil"/>
                  </w:tcBorders>
                </w:tcPr>
                <w:p w14:paraId="68ABA4D2" w14:textId="77777777" w:rsidR="00D44C2F" w:rsidRPr="002D7CC8" w:rsidRDefault="00D44C2F" w:rsidP="00A67808">
                  <w:pPr>
                    <w:ind w:left="0" w:firstLine="0"/>
                    <w:jc w:val="center"/>
                  </w:pPr>
                  <w:r>
                    <w:t>3.26</w:t>
                  </w:r>
                </w:p>
              </w:tc>
            </w:tr>
            <w:tr w:rsidR="00D44C2F" w:rsidRPr="00BD2EEE" w14:paraId="20BF3B4C" w14:textId="77777777" w:rsidTr="00FF4942">
              <w:trPr>
                <w:trHeight w:val="543"/>
              </w:trPr>
              <w:tc>
                <w:tcPr>
                  <w:tcW w:w="1351" w:type="dxa"/>
                  <w:tcBorders>
                    <w:top w:val="nil"/>
                  </w:tcBorders>
                </w:tcPr>
                <w:p w14:paraId="55CCBC82" w14:textId="77777777" w:rsidR="00D44C2F" w:rsidRPr="00980FBE" w:rsidRDefault="00D44C2F" w:rsidP="00A67808">
                  <w:pPr>
                    <w:ind w:left="0" w:firstLine="0"/>
                  </w:pPr>
                  <w:r w:rsidRPr="00980FBE">
                    <w:t>Market Debt</w:t>
                  </w:r>
                </w:p>
              </w:tc>
              <w:tc>
                <w:tcPr>
                  <w:tcW w:w="1016" w:type="dxa"/>
                  <w:tcBorders>
                    <w:top w:val="nil"/>
                  </w:tcBorders>
                </w:tcPr>
                <w:p w14:paraId="2A689AD9" w14:textId="77777777" w:rsidR="00D44C2F" w:rsidRPr="002D7CC8" w:rsidRDefault="00D44C2F" w:rsidP="00A67808">
                  <w:pPr>
                    <w:ind w:left="0" w:firstLine="0"/>
                    <w:jc w:val="center"/>
                  </w:pPr>
                  <w:r w:rsidRPr="002D7CC8">
                    <w:t>2.000</w:t>
                  </w:r>
                </w:p>
              </w:tc>
              <w:tc>
                <w:tcPr>
                  <w:tcW w:w="971" w:type="dxa"/>
                  <w:tcBorders>
                    <w:top w:val="nil"/>
                  </w:tcBorders>
                </w:tcPr>
                <w:p w14:paraId="0A094596" w14:textId="77777777" w:rsidR="00D44C2F" w:rsidRPr="002D7CC8" w:rsidRDefault="00D44C2F" w:rsidP="00A67808">
                  <w:pPr>
                    <w:ind w:left="0" w:firstLine="0"/>
                    <w:jc w:val="center"/>
                  </w:pPr>
                  <w:r w:rsidRPr="002D7CC8">
                    <w:t>4.01</w:t>
                  </w:r>
                </w:p>
              </w:tc>
            </w:tr>
            <w:tr w:rsidR="00D44C2F" w:rsidRPr="00BD2EEE" w14:paraId="2503462A" w14:textId="77777777" w:rsidTr="00FF4942">
              <w:trPr>
                <w:trHeight w:val="286"/>
              </w:trPr>
              <w:tc>
                <w:tcPr>
                  <w:tcW w:w="1351" w:type="dxa"/>
                </w:tcPr>
                <w:p w14:paraId="6352A81A" w14:textId="77777777" w:rsidR="00D44C2F" w:rsidRPr="00980FBE" w:rsidRDefault="00D44C2F" w:rsidP="00A67808">
                  <w:pPr>
                    <w:ind w:left="0" w:firstLine="0"/>
                  </w:pPr>
                  <w:r w:rsidRPr="00980FBE">
                    <w:t>Total debt</w:t>
                  </w:r>
                </w:p>
              </w:tc>
              <w:tc>
                <w:tcPr>
                  <w:tcW w:w="1016" w:type="dxa"/>
                </w:tcPr>
                <w:p w14:paraId="7507D0F2" w14:textId="77777777" w:rsidR="00D44C2F" w:rsidRPr="002D7CC8" w:rsidRDefault="00D44C2F" w:rsidP="00A67808">
                  <w:pPr>
                    <w:ind w:left="0" w:firstLine="0"/>
                    <w:jc w:val="center"/>
                  </w:pPr>
                  <w:r>
                    <w:t>41</w:t>
                  </w:r>
                  <w:r w:rsidRPr="002D7CC8">
                    <w:t>.830</w:t>
                  </w:r>
                </w:p>
              </w:tc>
              <w:tc>
                <w:tcPr>
                  <w:tcW w:w="971" w:type="dxa"/>
                </w:tcPr>
                <w:p w14:paraId="47E7DC82" w14:textId="77777777" w:rsidR="00D44C2F" w:rsidRPr="002D7CC8" w:rsidRDefault="00D44C2F" w:rsidP="00A67808">
                  <w:pPr>
                    <w:ind w:left="0" w:firstLine="0"/>
                    <w:jc w:val="center"/>
                  </w:pPr>
                  <w:r>
                    <w:t>3.30</w:t>
                  </w:r>
                </w:p>
              </w:tc>
            </w:tr>
          </w:tbl>
          <w:p w14:paraId="09A7720F" w14:textId="77777777" w:rsidR="005303AF" w:rsidRPr="00BD2EEE" w:rsidRDefault="005303AF" w:rsidP="005303AF">
            <w:pPr>
              <w:ind w:left="0" w:firstLine="0"/>
              <w:rPr>
                <w:color w:val="FF0000"/>
              </w:rPr>
            </w:pPr>
          </w:p>
          <w:p w14:paraId="77CF50C9" w14:textId="77777777" w:rsidR="005303AF" w:rsidRPr="00A67808" w:rsidRDefault="005303AF" w:rsidP="005303AF">
            <w:pPr>
              <w:ind w:left="0" w:firstLine="0"/>
            </w:pPr>
            <w:r w:rsidRPr="00A67808">
              <w:t xml:space="preserve">The loans are repayable at different intervals over the next </w:t>
            </w:r>
            <w:r w:rsidR="00231B0C">
              <w:t>5</w:t>
            </w:r>
            <w:r w:rsidRPr="00A67808">
              <w:t>-40+ years.</w:t>
            </w:r>
          </w:p>
          <w:p w14:paraId="675B16B8" w14:textId="77777777" w:rsidR="005303AF" w:rsidRPr="00A67808" w:rsidRDefault="005303AF" w:rsidP="005303AF">
            <w:pPr>
              <w:ind w:left="0" w:firstLine="0"/>
            </w:pPr>
          </w:p>
          <w:p w14:paraId="2C8379AC" w14:textId="77777777" w:rsidR="005303AF" w:rsidRPr="00A67808" w:rsidRDefault="005303AF" w:rsidP="005303AF">
            <w:pPr>
              <w:ind w:left="0" w:firstLine="0"/>
            </w:pPr>
            <w:r w:rsidRPr="00A67808">
              <w:t xml:space="preserve">New PWLB loans may be taken out as the capital programme funding requires, PWLB borrowing </w:t>
            </w:r>
            <w:r w:rsidRPr="00A67808">
              <w:lastRenderedPageBreak/>
              <w:t>tends to be at a lower rate than commercial borrowing.</w:t>
            </w:r>
          </w:p>
          <w:p w14:paraId="4ADF7361" w14:textId="77777777" w:rsidR="005303AF" w:rsidRPr="00A67808" w:rsidRDefault="005303AF" w:rsidP="005303AF">
            <w:pPr>
              <w:ind w:left="0" w:firstLine="0"/>
            </w:pPr>
          </w:p>
          <w:p w14:paraId="795A3D68" w14:textId="77777777" w:rsidR="005303AF" w:rsidRPr="00A67808" w:rsidRDefault="005303AF" w:rsidP="005303AF">
            <w:pPr>
              <w:ind w:left="0" w:firstLine="0"/>
            </w:pPr>
            <w:r w:rsidRPr="00A67808">
              <w:t xml:space="preserve">The ‘Market debt’ shown above represents a loan taken out initially as a Lender Option Borrower Option (LOBO) loan with Barclays, at a time when those loans were seen to be at preferential rates. The option to transfer it into a normal market loan was exercise by the bank </w:t>
            </w:r>
            <w:r w:rsidR="00BD2EEE" w:rsidRPr="00A67808">
              <w:t>three</w:t>
            </w:r>
            <w:r w:rsidRPr="00A67808">
              <w:t xml:space="preserve"> years ago and the rate offered at the time was in line with other market loans at the time.</w:t>
            </w:r>
          </w:p>
          <w:p w14:paraId="15F2B193" w14:textId="77777777" w:rsidR="005303AF" w:rsidRPr="00A67808" w:rsidRDefault="005303AF" w:rsidP="005303AF">
            <w:pPr>
              <w:ind w:left="0" w:firstLine="0"/>
            </w:pPr>
          </w:p>
          <w:p w14:paraId="1A93125F" w14:textId="77777777" w:rsidR="005303AF" w:rsidRPr="00A67808" w:rsidRDefault="005303AF" w:rsidP="005303AF">
            <w:pPr>
              <w:ind w:left="0" w:firstLine="0"/>
              <w:rPr>
                <w:b/>
              </w:rPr>
            </w:pPr>
            <w:r w:rsidRPr="00A67808">
              <w:rPr>
                <w:b/>
              </w:rPr>
              <w:t>Cash flow</w:t>
            </w:r>
          </w:p>
          <w:p w14:paraId="1734824F" w14:textId="77777777" w:rsidR="005303AF" w:rsidRPr="00A67808" w:rsidRDefault="005303AF" w:rsidP="005303AF">
            <w:pPr>
              <w:ind w:left="0" w:firstLine="0"/>
            </w:pPr>
          </w:p>
          <w:p w14:paraId="5477C23A" w14:textId="77777777" w:rsidR="005303AF" w:rsidRPr="00A67808" w:rsidRDefault="005303AF" w:rsidP="005303AF">
            <w:pPr>
              <w:ind w:left="0" w:firstLine="0"/>
            </w:pPr>
            <w:r w:rsidRPr="00A67808">
              <w:t>The Authority does not manage a bank account, nor does it manage its cash flow on a day to day basis. This function is carried out by St Helens Council as part of the service level agreement under the Treasury Management function.</w:t>
            </w:r>
          </w:p>
          <w:p w14:paraId="11630763" w14:textId="77777777" w:rsidR="003B4CD4" w:rsidRPr="00BD2EEE" w:rsidRDefault="003B4CD4" w:rsidP="005303AF">
            <w:pPr>
              <w:ind w:left="0" w:firstLine="0"/>
              <w:rPr>
                <w:color w:val="FF0000"/>
              </w:rPr>
            </w:pPr>
          </w:p>
          <w:p w14:paraId="1F1F0C0D" w14:textId="77777777" w:rsidR="003B4CD4" w:rsidRPr="00191331" w:rsidRDefault="003B4CD4" w:rsidP="003B4CD4">
            <w:pPr>
              <w:ind w:left="0" w:firstLine="0"/>
              <w:rPr>
                <w:b/>
              </w:rPr>
            </w:pPr>
          </w:p>
        </w:tc>
      </w:tr>
    </w:tbl>
    <w:p w14:paraId="6DD3B2D7" w14:textId="77777777" w:rsidR="005303AF" w:rsidRDefault="005303AF" w:rsidP="005303AF"/>
    <w:p w14:paraId="6D80D318" w14:textId="77777777" w:rsidR="00533DCE" w:rsidRPr="00533DCE" w:rsidRDefault="00533DCE" w:rsidP="00C06070"/>
    <w:sectPr w:rsidR="00533DCE" w:rsidRPr="00533DCE" w:rsidSect="00FF49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68335" w14:textId="77777777" w:rsidR="00F22D84" w:rsidRDefault="00F22D84" w:rsidP="001E78E7">
      <w:pPr>
        <w:spacing w:after="0" w:line="240" w:lineRule="auto"/>
      </w:pPr>
      <w:r>
        <w:separator/>
      </w:r>
    </w:p>
  </w:endnote>
  <w:endnote w:type="continuationSeparator" w:id="0">
    <w:p w14:paraId="198C9374" w14:textId="77777777" w:rsidR="00F22D84" w:rsidRDefault="00F22D84" w:rsidP="001E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175B" w14:textId="77777777" w:rsidR="00F22D84" w:rsidRDefault="00F22D84" w:rsidP="001E78E7">
      <w:pPr>
        <w:spacing w:after="0" w:line="240" w:lineRule="auto"/>
      </w:pPr>
      <w:r>
        <w:separator/>
      </w:r>
    </w:p>
  </w:footnote>
  <w:footnote w:type="continuationSeparator" w:id="0">
    <w:p w14:paraId="78B9F266" w14:textId="77777777" w:rsidR="00F22D84" w:rsidRDefault="00F22D84" w:rsidP="001E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663C" w14:textId="61D3944C" w:rsidR="00CB264C" w:rsidRPr="001E78E7" w:rsidRDefault="008F6054" w:rsidP="001E78E7">
    <w:pPr>
      <w:pStyle w:val="Header"/>
      <w:jc w:val="right"/>
      <w:rPr>
        <w:rFonts w:ascii="Arial" w:hAnsi="Arial" w:cs="Arial"/>
        <w:b/>
        <w:sz w:val="52"/>
        <w:szCs w:val="24"/>
      </w:rPr>
    </w:pPr>
    <w:r>
      <w:rPr>
        <w:rFonts w:ascii="Arial" w:hAnsi="Arial" w:cs="Arial"/>
        <w:b/>
        <w:sz w:val="52"/>
        <w:szCs w:val="24"/>
      </w:rPr>
      <w:t>0</w:t>
    </w:r>
    <w:r w:rsidR="003211E0">
      <w:rPr>
        <w:rFonts w:ascii="Arial" w:hAnsi="Arial" w:cs="Arial"/>
        <w:b/>
        <w:sz w:val="52"/>
        <w:szCs w:val="24"/>
      </w:rPr>
      <w:t>9</w:t>
    </w:r>
  </w:p>
  <w:p w14:paraId="40ACC771" w14:textId="77777777" w:rsidR="00CB264C" w:rsidRPr="001E78E7" w:rsidRDefault="00CB264C" w:rsidP="001E78E7">
    <w:pPr>
      <w:pStyle w:val="Header"/>
      <w:jc w:val="right"/>
      <w:rPr>
        <w:b/>
      </w:rPr>
    </w:pPr>
    <w:r w:rsidRPr="001E78E7">
      <w:rPr>
        <w:rFonts w:ascii="Arial" w:hAnsi="Arial" w:cs="Arial"/>
        <w:b/>
        <w:sz w:val="24"/>
        <w:szCs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4D7D"/>
    <w:multiLevelType w:val="hybridMultilevel"/>
    <w:tmpl w:val="E5A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16353"/>
    <w:multiLevelType w:val="hybridMultilevel"/>
    <w:tmpl w:val="5530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80F08"/>
    <w:multiLevelType w:val="hybridMultilevel"/>
    <w:tmpl w:val="97D2D0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53397F"/>
    <w:multiLevelType w:val="hybridMultilevel"/>
    <w:tmpl w:val="02CA4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B137DA"/>
    <w:multiLevelType w:val="hybridMultilevel"/>
    <w:tmpl w:val="EF5C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1369E"/>
    <w:multiLevelType w:val="hybridMultilevel"/>
    <w:tmpl w:val="0EE0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0607D"/>
    <w:multiLevelType w:val="hybridMultilevel"/>
    <w:tmpl w:val="46882F90"/>
    <w:lvl w:ilvl="0" w:tplc="3EB2C08A">
      <w:start w:val="1"/>
      <w:numFmt w:val="bullet"/>
      <w:lvlText w:val=""/>
      <w:lvlJc w:val="left"/>
      <w:pPr>
        <w:tabs>
          <w:tab w:val="num" w:pos="1440"/>
        </w:tabs>
        <w:ind w:left="1440" w:hanging="360"/>
      </w:pPr>
      <w:rPr>
        <w:rFonts w:ascii="Symbol" w:hAnsi="Symbol" w:hint="default"/>
        <w:sz w:val="22"/>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317A5D5F"/>
    <w:multiLevelType w:val="hybridMultilevel"/>
    <w:tmpl w:val="A710A52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034595"/>
    <w:multiLevelType w:val="hybridMultilevel"/>
    <w:tmpl w:val="45E6E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474F61"/>
    <w:multiLevelType w:val="hybridMultilevel"/>
    <w:tmpl w:val="0104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82CFB"/>
    <w:multiLevelType w:val="hybridMultilevel"/>
    <w:tmpl w:val="A34AB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DC769E"/>
    <w:multiLevelType w:val="hybridMultilevel"/>
    <w:tmpl w:val="AA948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6832DA"/>
    <w:multiLevelType w:val="hybridMultilevel"/>
    <w:tmpl w:val="2C2E4730"/>
    <w:lvl w:ilvl="0" w:tplc="995E4BE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7349D"/>
    <w:multiLevelType w:val="hybridMultilevel"/>
    <w:tmpl w:val="4412EB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AB875A4"/>
    <w:multiLevelType w:val="hybridMultilevel"/>
    <w:tmpl w:val="D16247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31E08E6"/>
    <w:multiLevelType w:val="hybridMultilevel"/>
    <w:tmpl w:val="11AEA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2B13D9"/>
    <w:multiLevelType w:val="hybridMultilevel"/>
    <w:tmpl w:val="662E780C"/>
    <w:lvl w:ilvl="0" w:tplc="995E4BE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D6E33"/>
    <w:multiLevelType w:val="hybridMultilevel"/>
    <w:tmpl w:val="CFC2BE2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974DA8"/>
    <w:multiLevelType w:val="hybridMultilevel"/>
    <w:tmpl w:val="BD587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5"/>
  </w:num>
  <w:num w:numId="4">
    <w:abstractNumId w:val="7"/>
  </w:num>
  <w:num w:numId="5">
    <w:abstractNumId w:val="17"/>
  </w:num>
  <w:num w:numId="6">
    <w:abstractNumId w:val="3"/>
  </w:num>
  <w:num w:numId="7">
    <w:abstractNumId w:val="13"/>
  </w:num>
  <w:num w:numId="8">
    <w:abstractNumId w:val="2"/>
  </w:num>
  <w:num w:numId="9">
    <w:abstractNumId w:val="8"/>
  </w:num>
  <w:num w:numId="10">
    <w:abstractNumId w:val="6"/>
  </w:num>
  <w:num w:numId="11">
    <w:abstractNumId w:val="11"/>
  </w:num>
  <w:num w:numId="12">
    <w:abstractNumId w:val="18"/>
  </w:num>
  <w:num w:numId="13">
    <w:abstractNumId w:val="9"/>
  </w:num>
  <w:num w:numId="14">
    <w:abstractNumId w:val="0"/>
  </w:num>
  <w:num w:numId="15">
    <w:abstractNumId w:val="1"/>
  </w:num>
  <w:num w:numId="16">
    <w:abstractNumId w:val="4"/>
  </w:num>
  <w:num w:numId="17">
    <w:abstractNumId w:val="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C4"/>
    <w:rsid w:val="000214B1"/>
    <w:rsid w:val="00026C98"/>
    <w:rsid w:val="00051C64"/>
    <w:rsid w:val="0006663D"/>
    <w:rsid w:val="0009346C"/>
    <w:rsid w:val="000948D9"/>
    <w:rsid w:val="00097C7A"/>
    <w:rsid w:val="000B38B3"/>
    <w:rsid w:val="000B51FC"/>
    <w:rsid w:val="000C5648"/>
    <w:rsid w:val="000E49CE"/>
    <w:rsid w:val="000E6D3F"/>
    <w:rsid w:val="0010068F"/>
    <w:rsid w:val="00104A45"/>
    <w:rsid w:val="00104C0B"/>
    <w:rsid w:val="00114B59"/>
    <w:rsid w:val="00133551"/>
    <w:rsid w:val="00133EC4"/>
    <w:rsid w:val="0013727D"/>
    <w:rsid w:val="001446A3"/>
    <w:rsid w:val="00145267"/>
    <w:rsid w:val="00147980"/>
    <w:rsid w:val="00153A0D"/>
    <w:rsid w:val="00153AC7"/>
    <w:rsid w:val="0016219B"/>
    <w:rsid w:val="00181B89"/>
    <w:rsid w:val="00182A7C"/>
    <w:rsid w:val="0018585E"/>
    <w:rsid w:val="001977A0"/>
    <w:rsid w:val="001B0EBE"/>
    <w:rsid w:val="001B2695"/>
    <w:rsid w:val="001B406F"/>
    <w:rsid w:val="001C0EA8"/>
    <w:rsid w:val="001D3B73"/>
    <w:rsid w:val="001E1F17"/>
    <w:rsid w:val="001E78E7"/>
    <w:rsid w:val="00200004"/>
    <w:rsid w:val="002020BB"/>
    <w:rsid w:val="00231B0C"/>
    <w:rsid w:val="00240D87"/>
    <w:rsid w:val="00243722"/>
    <w:rsid w:val="00251583"/>
    <w:rsid w:val="00254AB0"/>
    <w:rsid w:val="00277167"/>
    <w:rsid w:val="0028353F"/>
    <w:rsid w:val="002B6CCD"/>
    <w:rsid w:val="002D7CC8"/>
    <w:rsid w:val="002E2B94"/>
    <w:rsid w:val="003029D4"/>
    <w:rsid w:val="00304914"/>
    <w:rsid w:val="003211E0"/>
    <w:rsid w:val="00331C89"/>
    <w:rsid w:val="00333D4E"/>
    <w:rsid w:val="00340C53"/>
    <w:rsid w:val="00346811"/>
    <w:rsid w:val="00366544"/>
    <w:rsid w:val="003757DA"/>
    <w:rsid w:val="00377B10"/>
    <w:rsid w:val="00381DCA"/>
    <w:rsid w:val="003859CD"/>
    <w:rsid w:val="003871C5"/>
    <w:rsid w:val="003932DB"/>
    <w:rsid w:val="003A1525"/>
    <w:rsid w:val="003A25CF"/>
    <w:rsid w:val="003A6601"/>
    <w:rsid w:val="003A774F"/>
    <w:rsid w:val="003B00C8"/>
    <w:rsid w:val="003B4CD4"/>
    <w:rsid w:val="003D2887"/>
    <w:rsid w:val="003E4CFE"/>
    <w:rsid w:val="003F1747"/>
    <w:rsid w:val="00423E3C"/>
    <w:rsid w:val="00425F72"/>
    <w:rsid w:val="00430BB4"/>
    <w:rsid w:val="00432CD9"/>
    <w:rsid w:val="004479D1"/>
    <w:rsid w:val="004526AE"/>
    <w:rsid w:val="00471EE3"/>
    <w:rsid w:val="0047434D"/>
    <w:rsid w:val="00482E01"/>
    <w:rsid w:val="00487944"/>
    <w:rsid w:val="004D114B"/>
    <w:rsid w:val="004E51FD"/>
    <w:rsid w:val="004E57EC"/>
    <w:rsid w:val="00513401"/>
    <w:rsid w:val="005303AF"/>
    <w:rsid w:val="00533DCE"/>
    <w:rsid w:val="00551296"/>
    <w:rsid w:val="005552B9"/>
    <w:rsid w:val="00555F01"/>
    <w:rsid w:val="00561E39"/>
    <w:rsid w:val="00567498"/>
    <w:rsid w:val="005709BA"/>
    <w:rsid w:val="00577887"/>
    <w:rsid w:val="005837E2"/>
    <w:rsid w:val="0058432E"/>
    <w:rsid w:val="00593C91"/>
    <w:rsid w:val="00597DA0"/>
    <w:rsid w:val="005B1B71"/>
    <w:rsid w:val="005B5E63"/>
    <w:rsid w:val="005C357D"/>
    <w:rsid w:val="005C51BB"/>
    <w:rsid w:val="005E1435"/>
    <w:rsid w:val="005F69E4"/>
    <w:rsid w:val="0060041C"/>
    <w:rsid w:val="0061118E"/>
    <w:rsid w:val="00620C63"/>
    <w:rsid w:val="00642F94"/>
    <w:rsid w:val="006475E7"/>
    <w:rsid w:val="00685EE8"/>
    <w:rsid w:val="006906A4"/>
    <w:rsid w:val="006A0640"/>
    <w:rsid w:val="006A2841"/>
    <w:rsid w:val="006A667B"/>
    <w:rsid w:val="006B42CA"/>
    <w:rsid w:val="006B5792"/>
    <w:rsid w:val="006D0FF1"/>
    <w:rsid w:val="006E7222"/>
    <w:rsid w:val="006F255F"/>
    <w:rsid w:val="007021CA"/>
    <w:rsid w:val="00702D63"/>
    <w:rsid w:val="007123C3"/>
    <w:rsid w:val="00714F81"/>
    <w:rsid w:val="00715836"/>
    <w:rsid w:val="00716A98"/>
    <w:rsid w:val="00731990"/>
    <w:rsid w:val="007328E0"/>
    <w:rsid w:val="007339D1"/>
    <w:rsid w:val="007548D6"/>
    <w:rsid w:val="00755D9A"/>
    <w:rsid w:val="00757726"/>
    <w:rsid w:val="0077213A"/>
    <w:rsid w:val="0077434A"/>
    <w:rsid w:val="00777989"/>
    <w:rsid w:val="00780CF4"/>
    <w:rsid w:val="00786771"/>
    <w:rsid w:val="00793B15"/>
    <w:rsid w:val="007B4E3D"/>
    <w:rsid w:val="007C44C7"/>
    <w:rsid w:val="007C7B88"/>
    <w:rsid w:val="007E4384"/>
    <w:rsid w:val="007E46A0"/>
    <w:rsid w:val="007F2D17"/>
    <w:rsid w:val="007F31DD"/>
    <w:rsid w:val="007F3C88"/>
    <w:rsid w:val="00802E87"/>
    <w:rsid w:val="00810CA6"/>
    <w:rsid w:val="00812200"/>
    <w:rsid w:val="008237CD"/>
    <w:rsid w:val="00825715"/>
    <w:rsid w:val="00826FA9"/>
    <w:rsid w:val="00844BE8"/>
    <w:rsid w:val="00861821"/>
    <w:rsid w:val="0087120B"/>
    <w:rsid w:val="00871911"/>
    <w:rsid w:val="00877624"/>
    <w:rsid w:val="008817B2"/>
    <w:rsid w:val="00881E80"/>
    <w:rsid w:val="008941DC"/>
    <w:rsid w:val="00895689"/>
    <w:rsid w:val="008D24A5"/>
    <w:rsid w:val="008E7458"/>
    <w:rsid w:val="008F6054"/>
    <w:rsid w:val="00923D83"/>
    <w:rsid w:val="00924C30"/>
    <w:rsid w:val="00931313"/>
    <w:rsid w:val="009406DB"/>
    <w:rsid w:val="009477AF"/>
    <w:rsid w:val="00950DF6"/>
    <w:rsid w:val="0096176F"/>
    <w:rsid w:val="00972012"/>
    <w:rsid w:val="009805FF"/>
    <w:rsid w:val="00980FBE"/>
    <w:rsid w:val="00984B0C"/>
    <w:rsid w:val="0098641C"/>
    <w:rsid w:val="009A470A"/>
    <w:rsid w:val="009B52E2"/>
    <w:rsid w:val="009C0E87"/>
    <w:rsid w:val="009C685D"/>
    <w:rsid w:val="009D759E"/>
    <w:rsid w:val="009E5223"/>
    <w:rsid w:val="009F62AB"/>
    <w:rsid w:val="009F7FFB"/>
    <w:rsid w:val="00A03DDB"/>
    <w:rsid w:val="00A10C9A"/>
    <w:rsid w:val="00A24D17"/>
    <w:rsid w:val="00A33B6E"/>
    <w:rsid w:val="00A3479C"/>
    <w:rsid w:val="00A46161"/>
    <w:rsid w:val="00A556E8"/>
    <w:rsid w:val="00A6106D"/>
    <w:rsid w:val="00A67808"/>
    <w:rsid w:val="00A70A85"/>
    <w:rsid w:val="00A73FF9"/>
    <w:rsid w:val="00A962DC"/>
    <w:rsid w:val="00AA09F8"/>
    <w:rsid w:val="00AA6884"/>
    <w:rsid w:val="00AD7BB7"/>
    <w:rsid w:val="00AF10D5"/>
    <w:rsid w:val="00B00E8D"/>
    <w:rsid w:val="00B32CC8"/>
    <w:rsid w:val="00B4135F"/>
    <w:rsid w:val="00B66274"/>
    <w:rsid w:val="00B66ABA"/>
    <w:rsid w:val="00B75FCA"/>
    <w:rsid w:val="00BA7534"/>
    <w:rsid w:val="00BB325D"/>
    <w:rsid w:val="00BC7957"/>
    <w:rsid w:val="00BD19AD"/>
    <w:rsid w:val="00BD1E5A"/>
    <w:rsid w:val="00BD2EEE"/>
    <w:rsid w:val="00BE41B2"/>
    <w:rsid w:val="00BF39D1"/>
    <w:rsid w:val="00BF69D9"/>
    <w:rsid w:val="00C06070"/>
    <w:rsid w:val="00C065BE"/>
    <w:rsid w:val="00C233E9"/>
    <w:rsid w:val="00C54389"/>
    <w:rsid w:val="00C76FB3"/>
    <w:rsid w:val="00C8030E"/>
    <w:rsid w:val="00C81BD0"/>
    <w:rsid w:val="00C82C16"/>
    <w:rsid w:val="00CA6057"/>
    <w:rsid w:val="00CB264C"/>
    <w:rsid w:val="00CB43DC"/>
    <w:rsid w:val="00CB588D"/>
    <w:rsid w:val="00CB6CEB"/>
    <w:rsid w:val="00CD06C2"/>
    <w:rsid w:val="00CE1851"/>
    <w:rsid w:val="00CE4DA7"/>
    <w:rsid w:val="00CE6394"/>
    <w:rsid w:val="00CF4AEA"/>
    <w:rsid w:val="00D03486"/>
    <w:rsid w:val="00D15439"/>
    <w:rsid w:val="00D2366F"/>
    <w:rsid w:val="00D359B0"/>
    <w:rsid w:val="00D44C2F"/>
    <w:rsid w:val="00D60F9B"/>
    <w:rsid w:val="00D617BA"/>
    <w:rsid w:val="00D64940"/>
    <w:rsid w:val="00D650F7"/>
    <w:rsid w:val="00D716F3"/>
    <w:rsid w:val="00D80280"/>
    <w:rsid w:val="00D81EC3"/>
    <w:rsid w:val="00DC7DD9"/>
    <w:rsid w:val="00DD1D7E"/>
    <w:rsid w:val="00DD58F0"/>
    <w:rsid w:val="00DE40BD"/>
    <w:rsid w:val="00DF17AF"/>
    <w:rsid w:val="00DF2069"/>
    <w:rsid w:val="00E373B0"/>
    <w:rsid w:val="00E51974"/>
    <w:rsid w:val="00E52032"/>
    <w:rsid w:val="00E53912"/>
    <w:rsid w:val="00E760D9"/>
    <w:rsid w:val="00EC3CD6"/>
    <w:rsid w:val="00ED2005"/>
    <w:rsid w:val="00ED5FC2"/>
    <w:rsid w:val="00EF4F42"/>
    <w:rsid w:val="00EF6323"/>
    <w:rsid w:val="00F11406"/>
    <w:rsid w:val="00F22D84"/>
    <w:rsid w:val="00F23AFE"/>
    <w:rsid w:val="00F25C0C"/>
    <w:rsid w:val="00F350A4"/>
    <w:rsid w:val="00F45D18"/>
    <w:rsid w:val="00F57CC3"/>
    <w:rsid w:val="00F63DAE"/>
    <w:rsid w:val="00F73228"/>
    <w:rsid w:val="00F92794"/>
    <w:rsid w:val="00F973FA"/>
    <w:rsid w:val="00FA272F"/>
    <w:rsid w:val="00FB59A8"/>
    <w:rsid w:val="00FF4942"/>
    <w:rsid w:val="00FF7144"/>
    <w:rsid w:val="00FF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080B"/>
  <w15:docId w15:val="{CAA119C4-2EC7-43F1-AF70-E1DCE566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C0EA8"/>
    <w:pPr>
      <w:keepNext/>
      <w:spacing w:after="0" w:line="240" w:lineRule="auto"/>
      <w:outlineLvl w:val="1"/>
    </w:pPr>
    <w:rPr>
      <w:rFonts w:ascii="Arial" w:eastAsia="Times New Roman" w:hAnsi="Arial" w:cs="Arial"/>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C4"/>
    <w:pPr>
      <w:contextualSpacing/>
    </w:pPr>
  </w:style>
  <w:style w:type="table" w:styleId="TableGrid">
    <w:name w:val="Table Grid"/>
    <w:basedOn w:val="TableNormal"/>
    <w:uiPriority w:val="59"/>
    <w:rsid w:val="00DC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4B"/>
    <w:rPr>
      <w:rFonts w:ascii="Tahoma" w:hAnsi="Tahoma" w:cs="Tahoma"/>
      <w:sz w:val="16"/>
      <w:szCs w:val="16"/>
    </w:rPr>
  </w:style>
  <w:style w:type="paragraph" w:styleId="BodyText">
    <w:name w:val="Body Text"/>
    <w:basedOn w:val="Normal"/>
    <w:link w:val="BodyTextChar"/>
    <w:uiPriority w:val="99"/>
    <w:rsid w:val="00CB6CEB"/>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CB6CEB"/>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779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1C0EA8"/>
    <w:pPr>
      <w:spacing w:after="120"/>
      <w:ind w:left="283"/>
    </w:pPr>
  </w:style>
  <w:style w:type="character" w:customStyle="1" w:styleId="BodyTextIndentChar">
    <w:name w:val="Body Text Indent Char"/>
    <w:basedOn w:val="DefaultParagraphFont"/>
    <w:link w:val="BodyTextIndent"/>
    <w:uiPriority w:val="99"/>
    <w:semiHidden/>
    <w:rsid w:val="001C0EA8"/>
  </w:style>
  <w:style w:type="paragraph" w:styleId="BodyTextIndent2">
    <w:name w:val="Body Text Indent 2"/>
    <w:basedOn w:val="Normal"/>
    <w:link w:val="BodyTextIndent2Char"/>
    <w:uiPriority w:val="99"/>
    <w:semiHidden/>
    <w:unhideWhenUsed/>
    <w:rsid w:val="001C0EA8"/>
    <w:pPr>
      <w:spacing w:after="120" w:line="480" w:lineRule="auto"/>
      <w:ind w:left="283"/>
    </w:pPr>
  </w:style>
  <w:style w:type="character" w:customStyle="1" w:styleId="BodyTextIndent2Char">
    <w:name w:val="Body Text Indent 2 Char"/>
    <w:basedOn w:val="DefaultParagraphFont"/>
    <w:link w:val="BodyTextIndent2"/>
    <w:uiPriority w:val="99"/>
    <w:semiHidden/>
    <w:rsid w:val="001C0EA8"/>
  </w:style>
  <w:style w:type="character" w:customStyle="1" w:styleId="Heading2Char">
    <w:name w:val="Heading 2 Char"/>
    <w:basedOn w:val="DefaultParagraphFont"/>
    <w:link w:val="Heading2"/>
    <w:rsid w:val="001C0EA8"/>
    <w:rPr>
      <w:rFonts w:ascii="Arial" w:eastAsia="Times New Roman" w:hAnsi="Arial" w:cs="Arial"/>
      <w:i/>
      <w:iCs/>
      <w:szCs w:val="24"/>
      <w:u w:val="single"/>
    </w:rPr>
  </w:style>
  <w:style w:type="character" w:styleId="CommentReference">
    <w:name w:val="annotation reference"/>
    <w:basedOn w:val="DefaultParagraphFont"/>
    <w:uiPriority w:val="99"/>
    <w:semiHidden/>
    <w:unhideWhenUsed/>
    <w:rsid w:val="003A1525"/>
    <w:rPr>
      <w:sz w:val="16"/>
      <w:szCs w:val="16"/>
    </w:rPr>
  </w:style>
  <w:style w:type="paragraph" w:styleId="CommentText">
    <w:name w:val="annotation text"/>
    <w:basedOn w:val="Normal"/>
    <w:link w:val="CommentTextChar"/>
    <w:uiPriority w:val="99"/>
    <w:semiHidden/>
    <w:unhideWhenUsed/>
    <w:rsid w:val="003A1525"/>
    <w:pPr>
      <w:spacing w:line="240" w:lineRule="auto"/>
    </w:pPr>
    <w:rPr>
      <w:sz w:val="20"/>
      <w:szCs w:val="20"/>
    </w:rPr>
  </w:style>
  <w:style w:type="character" w:customStyle="1" w:styleId="CommentTextChar">
    <w:name w:val="Comment Text Char"/>
    <w:basedOn w:val="DefaultParagraphFont"/>
    <w:link w:val="CommentText"/>
    <w:uiPriority w:val="99"/>
    <w:semiHidden/>
    <w:rsid w:val="003A1525"/>
    <w:rPr>
      <w:sz w:val="20"/>
      <w:szCs w:val="20"/>
    </w:rPr>
  </w:style>
  <w:style w:type="paragraph" w:styleId="CommentSubject">
    <w:name w:val="annotation subject"/>
    <w:basedOn w:val="CommentText"/>
    <w:next w:val="CommentText"/>
    <w:link w:val="CommentSubjectChar"/>
    <w:uiPriority w:val="99"/>
    <w:semiHidden/>
    <w:unhideWhenUsed/>
    <w:rsid w:val="003A1525"/>
    <w:rPr>
      <w:b/>
      <w:bCs/>
    </w:rPr>
  </w:style>
  <w:style w:type="character" w:customStyle="1" w:styleId="CommentSubjectChar">
    <w:name w:val="Comment Subject Char"/>
    <w:basedOn w:val="CommentTextChar"/>
    <w:link w:val="CommentSubject"/>
    <w:uiPriority w:val="99"/>
    <w:semiHidden/>
    <w:rsid w:val="003A1525"/>
    <w:rPr>
      <w:b/>
      <w:bCs/>
      <w:sz w:val="20"/>
      <w:szCs w:val="20"/>
    </w:rPr>
  </w:style>
  <w:style w:type="paragraph" w:styleId="Header">
    <w:name w:val="header"/>
    <w:basedOn w:val="Normal"/>
    <w:link w:val="HeaderChar"/>
    <w:uiPriority w:val="99"/>
    <w:unhideWhenUsed/>
    <w:rsid w:val="001E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8E7"/>
  </w:style>
  <w:style w:type="paragraph" w:styleId="Footer">
    <w:name w:val="footer"/>
    <w:basedOn w:val="Normal"/>
    <w:link w:val="FooterChar"/>
    <w:uiPriority w:val="99"/>
    <w:unhideWhenUsed/>
    <w:rsid w:val="001E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29588">
      <w:bodyDiv w:val="1"/>
      <w:marLeft w:val="0"/>
      <w:marRight w:val="0"/>
      <w:marTop w:val="0"/>
      <w:marBottom w:val="0"/>
      <w:divBdr>
        <w:top w:val="none" w:sz="0" w:space="0" w:color="auto"/>
        <w:left w:val="none" w:sz="0" w:space="0" w:color="auto"/>
        <w:bottom w:val="none" w:sz="0" w:space="0" w:color="auto"/>
        <w:right w:val="none" w:sz="0" w:space="0" w:color="auto"/>
      </w:divBdr>
    </w:div>
    <w:div w:id="1142118634">
      <w:bodyDiv w:val="1"/>
      <w:marLeft w:val="0"/>
      <w:marRight w:val="0"/>
      <w:marTop w:val="0"/>
      <w:marBottom w:val="0"/>
      <w:divBdr>
        <w:top w:val="none" w:sz="0" w:space="0" w:color="auto"/>
        <w:left w:val="none" w:sz="0" w:space="0" w:color="auto"/>
        <w:bottom w:val="none" w:sz="0" w:space="0" w:color="auto"/>
        <w:right w:val="none" w:sz="0" w:space="0" w:color="auto"/>
      </w:divBdr>
    </w:div>
    <w:div w:id="20969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67C2-E2BE-4EDC-99C9-1544FAC8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9122</Words>
  <Characters>51998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60999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Peter</dc:creator>
  <cp:lastModifiedBy>Muir, Amber</cp:lastModifiedBy>
  <cp:revision>3</cp:revision>
  <cp:lastPrinted>2015-01-27T16:22:00Z</cp:lastPrinted>
  <dcterms:created xsi:type="dcterms:W3CDTF">2021-01-18T13:12:00Z</dcterms:created>
  <dcterms:modified xsi:type="dcterms:W3CDTF">2021-01-19T13:52:00Z</dcterms:modified>
</cp:coreProperties>
</file>