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13" w:rsidRDefault="00BE7513" w:rsidP="006A4059">
      <w:pPr>
        <w:jc w:val="center"/>
      </w:pPr>
      <w:r>
        <w:rPr>
          <w:rFonts w:cs="Arial"/>
          <w:noProof/>
          <w:sz w:val="16"/>
          <w:szCs w:val="16"/>
          <w:lang w:eastAsia="en-GB"/>
        </w:rPr>
        <w:drawing>
          <wp:inline distT="0" distB="0" distL="0" distR="0" wp14:anchorId="0FFD65DD" wp14:editId="07398AA2">
            <wp:extent cx="1771650" cy="944880"/>
            <wp:effectExtent l="0" t="0" r="0" b="7620"/>
            <wp:docPr id="1" name="Picture 1" descr="mwda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_logo_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944880"/>
                    </a:xfrm>
                    <a:prstGeom prst="rect">
                      <a:avLst/>
                    </a:prstGeom>
                    <a:noFill/>
                    <a:ln>
                      <a:noFill/>
                    </a:ln>
                  </pic:spPr>
                </pic:pic>
              </a:graphicData>
            </a:graphic>
          </wp:inline>
        </w:drawing>
      </w:r>
    </w:p>
    <w:p w:rsidR="001E3C7E" w:rsidRPr="001E3C7E" w:rsidRDefault="001E3C7E" w:rsidP="001E3C7E">
      <w:pPr>
        <w:jc w:val="center"/>
        <w:rPr>
          <w:b/>
          <w:sz w:val="36"/>
          <w:szCs w:val="36"/>
        </w:rPr>
      </w:pPr>
      <w:r w:rsidRPr="00756768">
        <w:rPr>
          <w:b/>
          <w:sz w:val="36"/>
          <w:szCs w:val="36"/>
        </w:rPr>
        <w:t>JOB DESCRIPTION</w:t>
      </w:r>
    </w:p>
    <w:tbl>
      <w:tblPr>
        <w:tblStyle w:val="TableGrid"/>
        <w:tblW w:w="0" w:type="auto"/>
        <w:tblLook w:val="04A0" w:firstRow="1" w:lastRow="0" w:firstColumn="1" w:lastColumn="0" w:noHBand="0" w:noVBand="1"/>
      </w:tblPr>
      <w:tblGrid>
        <w:gridCol w:w="3085"/>
        <w:gridCol w:w="6157"/>
      </w:tblGrid>
      <w:tr w:rsidR="00BE7513" w:rsidTr="00BE7513">
        <w:tc>
          <w:tcPr>
            <w:tcW w:w="3085" w:type="dxa"/>
          </w:tcPr>
          <w:p w:rsidR="00BE7513" w:rsidRDefault="00BE7513" w:rsidP="00BE7513">
            <w:pPr>
              <w:rPr>
                <w:b/>
              </w:rPr>
            </w:pPr>
            <w:r w:rsidRPr="00BE7513">
              <w:rPr>
                <w:b/>
              </w:rPr>
              <w:t>SECTION</w:t>
            </w:r>
          </w:p>
          <w:p w:rsidR="00BE7513" w:rsidRPr="00BE7513" w:rsidRDefault="00BE7513" w:rsidP="00BE7513">
            <w:pPr>
              <w:rPr>
                <w:b/>
              </w:rPr>
            </w:pPr>
          </w:p>
        </w:tc>
        <w:tc>
          <w:tcPr>
            <w:tcW w:w="6157" w:type="dxa"/>
          </w:tcPr>
          <w:p w:rsidR="00677C31" w:rsidRDefault="00677C31" w:rsidP="00A44768">
            <w:r>
              <w:t>Strategy</w:t>
            </w:r>
            <w:r w:rsidR="00A44768">
              <w:t xml:space="preserve"> &amp; Development</w:t>
            </w:r>
          </w:p>
        </w:tc>
      </w:tr>
      <w:tr w:rsidR="00BE7513" w:rsidTr="00BE7513">
        <w:tc>
          <w:tcPr>
            <w:tcW w:w="3085" w:type="dxa"/>
          </w:tcPr>
          <w:p w:rsidR="00BE7513" w:rsidRDefault="00BE7513" w:rsidP="00BE7513">
            <w:pPr>
              <w:rPr>
                <w:b/>
              </w:rPr>
            </w:pPr>
            <w:r w:rsidRPr="00BE7513">
              <w:rPr>
                <w:b/>
              </w:rPr>
              <w:t>JOB TITLE</w:t>
            </w:r>
          </w:p>
          <w:p w:rsidR="00BE7513" w:rsidRPr="00BE7513" w:rsidRDefault="00BE7513" w:rsidP="00BE7513">
            <w:pPr>
              <w:rPr>
                <w:b/>
              </w:rPr>
            </w:pPr>
          </w:p>
        </w:tc>
        <w:tc>
          <w:tcPr>
            <w:tcW w:w="6157" w:type="dxa"/>
          </w:tcPr>
          <w:p w:rsidR="00BE7513" w:rsidRPr="00951C03" w:rsidRDefault="00677C31" w:rsidP="00335B76">
            <w:pPr>
              <w:rPr>
                <w:b/>
              </w:rPr>
            </w:pPr>
            <w:r>
              <w:rPr>
                <w:b/>
              </w:rPr>
              <w:t>Development Officer</w:t>
            </w:r>
            <w:r w:rsidR="00740FD9">
              <w:rPr>
                <w:b/>
              </w:rPr>
              <w:t xml:space="preserve"> </w:t>
            </w:r>
            <w:r w:rsidR="00716F83">
              <w:rPr>
                <w:b/>
              </w:rPr>
              <w:t>(Maternity Cover 10 months)</w:t>
            </w:r>
          </w:p>
        </w:tc>
      </w:tr>
      <w:tr w:rsidR="00BE7513" w:rsidTr="00BE7513">
        <w:tc>
          <w:tcPr>
            <w:tcW w:w="3085" w:type="dxa"/>
          </w:tcPr>
          <w:p w:rsidR="00BE7513" w:rsidRDefault="00BE7513" w:rsidP="00BE7513">
            <w:pPr>
              <w:rPr>
                <w:b/>
              </w:rPr>
            </w:pPr>
            <w:r w:rsidRPr="00BE7513">
              <w:rPr>
                <w:b/>
              </w:rPr>
              <w:t>GRADE</w:t>
            </w:r>
          </w:p>
          <w:p w:rsidR="00BE7513" w:rsidRPr="00BE7513" w:rsidRDefault="00BE7513" w:rsidP="00BE7513">
            <w:pPr>
              <w:rPr>
                <w:b/>
              </w:rPr>
            </w:pPr>
          </w:p>
        </w:tc>
        <w:tc>
          <w:tcPr>
            <w:tcW w:w="6157" w:type="dxa"/>
          </w:tcPr>
          <w:p w:rsidR="00BE7513" w:rsidRDefault="00677C31" w:rsidP="00BE7513">
            <w:r>
              <w:t>SO1</w:t>
            </w:r>
            <w:bookmarkStart w:id="0" w:name="_GoBack"/>
            <w:bookmarkEnd w:id="0"/>
          </w:p>
        </w:tc>
      </w:tr>
      <w:tr w:rsidR="00BE7513" w:rsidTr="00BE7513">
        <w:tc>
          <w:tcPr>
            <w:tcW w:w="3085" w:type="dxa"/>
          </w:tcPr>
          <w:p w:rsidR="00BE7513" w:rsidRDefault="00BE7513" w:rsidP="00BE7513">
            <w:pPr>
              <w:rPr>
                <w:b/>
              </w:rPr>
            </w:pPr>
            <w:r w:rsidRPr="00BE7513">
              <w:rPr>
                <w:b/>
              </w:rPr>
              <w:t>SALARY RANGE</w:t>
            </w:r>
          </w:p>
          <w:p w:rsidR="00BE7513" w:rsidRPr="00BE7513" w:rsidRDefault="00BE7513" w:rsidP="00BE7513">
            <w:pPr>
              <w:rPr>
                <w:b/>
              </w:rPr>
            </w:pPr>
          </w:p>
        </w:tc>
        <w:tc>
          <w:tcPr>
            <w:tcW w:w="6157" w:type="dxa"/>
          </w:tcPr>
          <w:p w:rsidR="00BE7513" w:rsidRDefault="00677C31" w:rsidP="00BE7513">
            <w:r>
              <w:t>£</w:t>
            </w:r>
            <w:r w:rsidR="00CB1554">
              <w:t>26,999</w:t>
            </w:r>
            <w:r>
              <w:t xml:space="preserve"> to £</w:t>
            </w:r>
            <w:r w:rsidR="00CB1554">
              <w:t>28,785</w:t>
            </w:r>
          </w:p>
          <w:p w:rsidR="00677C31" w:rsidRDefault="00677C31" w:rsidP="00BE7513"/>
        </w:tc>
      </w:tr>
      <w:tr w:rsidR="00BE7513" w:rsidTr="00BE7513">
        <w:tc>
          <w:tcPr>
            <w:tcW w:w="3085" w:type="dxa"/>
          </w:tcPr>
          <w:p w:rsidR="00BE7513" w:rsidRDefault="00BE7513" w:rsidP="00BE7513">
            <w:pPr>
              <w:rPr>
                <w:b/>
              </w:rPr>
            </w:pPr>
            <w:r w:rsidRPr="00BE7513">
              <w:rPr>
                <w:b/>
              </w:rPr>
              <w:t>LOCATION</w:t>
            </w:r>
          </w:p>
          <w:p w:rsidR="00BE7513" w:rsidRPr="00BE7513" w:rsidRDefault="00BE7513" w:rsidP="00BE7513">
            <w:pPr>
              <w:rPr>
                <w:b/>
              </w:rPr>
            </w:pPr>
          </w:p>
        </w:tc>
        <w:tc>
          <w:tcPr>
            <w:tcW w:w="6157" w:type="dxa"/>
          </w:tcPr>
          <w:p w:rsidR="00BE7513" w:rsidRDefault="00677C31" w:rsidP="00BE7513">
            <w:r>
              <w:t>Mann Island</w:t>
            </w:r>
          </w:p>
        </w:tc>
      </w:tr>
      <w:tr w:rsidR="00BE7513" w:rsidTr="00BE7513">
        <w:tc>
          <w:tcPr>
            <w:tcW w:w="3085" w:type="dxa"/>
          </w:tcPr>
          <w:p w:rsidR="00BE7513" w:rsidRDefault="00BE7513" w:rsidP="00BE7513">
            <w:pPr>
              <w:rPr>
                <w:b/>
              </w:rPr>
            </w:pPr>
            <w:r w:rsidRPr="00BE7513">
              <w:rPr>
                <w:b/>
              </w:rPr>
              <w:t>PRIMARY PURPOSE OF THE JOB</w:t>
            </w:r>
          </w:p>
          <w:p w:rsidR="00BE7513" w:rsidRPr="00BE7513" w:rsidRDefault="00BE7513" w:rsidP="00BE7513">
            <w:pPr>
              <w:rPr>
                <w:b/>
              </w:rPr>
            </w:pPr>
          </w:p>
        </w:tc>
        <w:tc>
          <w:tcPr>
            <w:tcW w:w="6157" w:type="dxa"/>
          </w:tcPr>
          <w:p w:rsidR="00BE7513" w:rsidRDefault="006016DC" w:rsidP="00BE7513">
            <w:r>
              <w:t>To support the A</w:t>
            </w:r>
            <w:r w:rsidR="00A44768">
              <w:t xml:space="preserve">ssistant </w:t>
            </w:r>
            <w:r>
              <w:t>D</w:t>
            </w:r>
            <w:r w:rsidR="00A44768">
              <w:t>irector</w:t>
            </w:r>
            <w:r>
              <w:t>/</w:t>
            </w:r>
            <w:r w:rsidR="00CB1554">
              <w:t>C</w:t>
            </w:r>
            <w:r w:rsidR="00A44768">
              <w:t xml:space="preserve">hief </w:t>
            </w:r>
            <w:r w:rsidR="00CB1554">
              <w:t>E</w:t>
            </w:r>
            <w:r w:rsidR="00A44768">
              <w:t>xecutive</w:t>
            </w:r>
            <w:r w:rsidR="00895CC4">
              <w:t xml:space="preserve"> &amp; S</w:t>
            </w:r>
            <w:r w:rsidR="00A44768">
              <w:t>trategy &amp; Development</w:t>
            </w:r>
            <w:r>
              <w:t xml:space="preserve"> Manager in promoting, facilitating and fulfilling the Authority’s Circular Economy Strategy.</w:t>
            </w:r>
          </w:p>
          <w:p w:rsidR="006016DC" w:rsidRDefault="006016DC" w:rsidP="00BE7513"/>
          <w:p w:rsidR="006016DC" w:rsidRDefault="006016DC" w:rsidP="00BE7513"/>
        </w:tc>
      </w:tr>
      <w:tr w:rsidR="00BE7513" w:rsidTr="00BE7513">
        <w:tc>
          <w:tcPr>
            <w:tcW w:w="3085" w:type="dxa"/>
          </w:tcPr>
          <w:p w:rsidR="00BE7513" w:rsidRDefault="00BE7513" w:rsidP="00BE7513">
            <w:pPr>
              <w:rPr>
                <w:b/>
              </w:rPr>
            </w:pPr>
            <w:r w:rsidRPr="00BE7513">
              <w:rPr>
                <w:b/>
              </w:rPr>
              <w:t>DIRECTLY RESPONSIBLE TO</w:t>
            </w:r>
          </w:p>
          <w:p w:rsidR="00BE7513" w:rsidRPr="00BE7513" w:rsidRDefault="00BE7513" w:rsidP="00BE7513">
            <w:pPr>
              <w:rPr>
                <w:b/>
              </w:rPr>
            </w:pPr>
          </w:p>
        </w:tc>
        <w:tc>
          <w:tcPr>
            <w:tcW w:w="6157" w:type="dxa"/>
          </w:tcPr>
          <w:p w:rsidR="00BE7513" w:rsidRDefault="00EF6786" w:rsidP="00A44768">
            <w:r>
              <w:t xml:space="preserve"> </w:t>
            </w:r>
            <w:r w:rsidR="00CB1554">
              <w:t xml:space="preserve"> </w:t>
            </w:r>
            <w:r w:rsidR="00335B76">
              <w:t>Strategy</w:t>
            </w:r>
            <w:r w:rsidR="00A44768">
              <w:t xml:space="preserve"> &amp; Development</w:t>
            </w:r>
            <w:r w:rsidR="00CB1554">
              <w:t xml:space="preserve"> </w:t>
            </w:r>
            <w:r>
              <w:t xml:space="preserve"> </w:t>
            </w:r>
            <w:r w:rsidR="00677C31">
              <w:t>Manager</w:t>
            </w:r>
          </w:p>
        </w:tc>
      </w:tr>
      <w:tr w:rsidR="00BE7513" w:rsidTr="00BE7513">
        <w:tc>
          <w:tcPr>
            <w:tcW w:w="3085" w:type="dxa"/>
          </w:tcPr>
          <w:p w:rsidR="00BE7513" w:rsidRDefault="00BE7513" w:rsidP="00BE7513">
            <w:pPr>
              <w:rPr>
                <w:b/>
              </w:rPr>
            </w:pPr>
            <w:r w:rsidRPr="00BE7513">
              <w:rPr>
                <w:b/>
              </w:rPr>
              <w:t>DIRECTLY RESPONSIBLE FOR</w:t>
            </w:r>
          </w:p>
          <w:p w:rsidR="00BE7513" w:rsidRPr="00BE7513" w:rsidRDefault="00BE7513" w:rsidP="00BE7513">
            <w:pPr>
              <w:rPr>
                <w:b/>
              </w:rPr>
            </w:pPr>
          </w:p>
        </w:tc>
        <w:tc>
          <w:tcPr>
            <w:tcW w:w="6157" w:type="dxa"/>
          </w:tcPr>
          <w:p w:rsidR="00BE7513" w:rsidRDefault="00677C31" w:rsidP="00BE7513">
            <w:r>
              <w:t>N/A</w:t>
            </w:r>
          </w:p>
        </w:tc>
      </w:tr>
    </w:tbl>
    <w:p w:rsidR="00BE7513" w:rsidRDefault="00BE7513" w:rsidP="00BE7513"/>
    <w:p w:rsidR="00BE7513" w:rsidRDefault="000E68D9" w:rsidP="00BE7513">
      <w:pPr>
        <w:spacing w:after="0" w:line="240" w:lineRule="auto"/>
        <w:rPr>
          <w:b/>
        </w:rPr>
      </w:pPr>
      <w:r>
        <w:rPr>
          <w:b/>
        </w:rPr>
        <w:t>PRINCIP</w:t>
      </w:r>
      <w:r w:rsidR="00887C14">
        <w:rPr>
          <w:b/>
        </w:rPr>
        <w:t>AL</w:t>
      </w:r>
      <w:r w:rsidR="00D112F8">
        <w:rPr>
          <w:b/>
        </w:rPr>
        <w:t xml:space="preserve"> DUTIES</w:t>
      </w:r>
    </w:p>
    <w:p w:rsidR="00BE7513" w:rsidRDefault="00BE7513" w:rsidP="00BE7513">
      <w:pPr>
        <w:spacing w:after="0" w:line="240" w:lineRule="auto"/>
        <w:rPr>
          <w:b/>
        </w:rPr>
      </w:pPr>
    </w:p>
    <w:p w:rsidR="00DF47E7" w:rsidRDefault="006016DC" w:rsidP="00740FD9">
      <w:pPr>
        <w:pStyle w:val="ListParagraph"/>
        <w:numPr>
          <w:ilvl w:val="0"/>
          <w:numId w:val="4"/>
        </w:numPr>
        <w:spacing w:after="0" w:line="240" w:lineRule="auto"/>
      </w:pPr>
      <w:r>
        <w:t>To assist in the development of new</w:t>
      </w:r>
      <w:r w:rsidR="00620726">
        <w:t xml:space="preserve"> circular economy</w:t>
      </w:r>
      <w:r>
        <w:t xml:space="preserve"> initiatives to provide a comprehensive, integrated and planned approach to the generation and use of resources that supports and enables the Authority’s vision.</w:t>
      </w:r>
    </w:p>
    <w:p w:rsidR="006016DC" w:rsidRDefault="006016DC" w:rsidP="006016DC">
      <w:pPr>
        <w:spacing w:after="0" w:line="240" w:lineRule="auto"/>
      </w:pPr>
    </w:p>
    <w:p w:rsidR="006016DC" w:rsidRDefault="006016DC" w:rsidP="00740FD9">
      <w:pPr>
        <w:pStyle w:val="ListParagraph"/>
        <w:numPr>
          <w:ilvl w:val="0"/>
          <w:numId w:val="4"/>
        </w:numPr>
        <w:spacing w:after="0" w:line="240" w:lineRule="auto"/>
      </w:pPr>
      <w:r>
        <w:t xml:space="preserve">To assist in the development of effective partnership working with the community, government, local authorities, contractors and other appropriate bodies to ensure the promotion </w:t>
      </w:r>
      <w:r w:rsidR="00ED4A96">
        <w:t xml:space="preserve">and delivery </w:t>
      </w:r>
      <w:r>
        <w:t>of</w:t>
      </w:r>
      <w:r w:rsidR="00ED4A96">
        <w:t xml:space="preserve"> the Authority’s </w:t>
      </w:r>
      <w:r>
        <w:t xml:space="preserve"> </w:t>
      </w:r>
      <w:r w:rsidR="00ED4A96">
        <w:t>waste minimisation, reuse and recycling initiatives.</w:t>
      </w:r>
    </w:p>
    <w:p w:rsidR="00ED4A96" w:rsidRDefault="00ED4A96" w:rsidP="00740FD9">
      <w:pPr>
        <w:pStyle w:val="ListParagraph"/>
      </w:pPr>
    </w:p>
    <w:p w:rsidR="00ED4A96" w:rsidRDefault="00ED4A96" w:rsidP="00923D9D">
      <w:pPr>
        <w:pStyle w:val="ListParagraph"/>
        <w:numPr>
          <w:ilvl w:val="0"/>
          <w:numId w:val="4"/>
        </w:numPr>
        <w:spacing w:after="0" w:line="240" w:lineRule="auto"/>
      </w:pPr>
      <w:r>
        <w:t>To assist in the research and application of strategic funding opportunities</w:t>
      </w:r>
      <w:r w:rsidR="000C5761">
        <w:t xml:space="preserve"> </w:t>
      </w:r>
      <w:r w:rsidR="0046796F">
        <w:t>which can support new initiatives and research and development.</w:t>
      </w:r>
    </w:p>
    <w:p w:rsidR="00923D9D" w:rsidRDefault="00923D9D" w:rsidP="00740FD9">
      <w:pPr>
        <w:spacing w:after="0" w:line="240" w:lineRule="auto"/>
      </w:pPr>
    </w:p>
    <w:p w:rsidR="00ED4A96" w:rsidRDefault="00ED4A96" w:rsidP="00740FD9">
      <w:pPr>
        <w:pStyle w:val="ListParagraph"/>
        <w:numPr>
          <w:ilvl w:val="0"/>
          <w:numId w:val="4"/>
        </w:numPr>
        <w:spacing w:after="0" w:line="240" w:lineRule="auto"/>
      </w:pPr>
      <w:r>
        <w:t>To maintain baseline data on a range of waste activity, to enable performance management information and benchmarking on behalf of the Authority and third parties, including performance indicators.</w:t>
      </w:r>
    </w:p>
    <w:p w:rsidR="00ED4A96" w:rsidRDefault="00ED4A96" w:rsidP="00740FD9">
      <w:pPr>
        <w:pStyle w:val="ListParagraph"/>
      </w:pPr>
    </w:p>
    <w:p w:rsidR="00ED4A96" w:rsidRDefault="00620726" w:rsidP="00740FD9">
      <w:pPr>
        <w:pStyle w:val="ListParagraph"/>
        <w:numPr>
          <w:ilvl w:val="0"/>
          <w:numId w:val="4"/>
        </w:numPr>
        <w:spacing w:after="0" w:line="240" w:lineRule="auto"/>
      </w:pPr>
      <w:r>
        <w:t>To work</w:t>
      </w:r>
      <w:r w:rsidR="00933BC3">
        <w:t xml:space="preserve"> with colleagues </w:t>
      </w:r>
      <w:r w:rsidR="00ED4A96">
        <w:t>on operational and service issues and providing</w:t>
      </w:r>
      <w:r w:rsidR="00933BC3">
        <w:t xml:space="preserve"> sustainable</w:t>
      </w:r>
      <w:r w:rsidR="00ED4A96">
        <w:t xml:space="preserve"> solutions.</w:t>
      </w:r>
    </w:p>
    <w:p w:rsidR="00ED4A96" w:rsidRDefault="00ED4A96" w:rsidP="00740FD9">
      <w:pPr>
        <w:pStyle w:val="ListParagraph"/>
      </w:pPr>
    </w:p>
    <w:p w:rsidR="00ED4A96" w:rsidRDefault="00620726" w:rsidP="00740FD9">
      <w:pPr>
        <w:pStyle w:val="ListParagraph"/>
        <w:numPr>
          <w:ilvl w:val="0"/>
          <w:numId w:val="4"/>
        </w:numPr>
        <w:spacing w:after="0" w:line="240" w:lineRule="auto"/>
      </w:pPr>
      <w:r>
        <w:lastRenderedPageBreak/>
        <w:t xml:space="preserve">To </w:t>
      </w:r>
      <w:proofErr w:type="gramStart"/>
      <w:r>
        <w:t xml:space="preserve">support </w:t>
      </w:r>
      <w:r w:rsidR="00ED4A96">
        <w:t xml:space="preserve"> the</w:t>
      </w:r>
      <w:proofErr w:type="gramEnd"/>
      <w:r w:rsidR="00ED4A96">
        <w:t xml:space="preserve"> Authority’s Behavioural Change Programme with sustainable </w:t>
      </w:r>
      <w:r w:rsidR="001F37D2">
        <w:t>waste prevention methods.</w:t>
      </w:r>
    </w:p>
    <w:p w:rsidR="00147C7F" w:rsidRDefault="00147C7F" w:rsidP="00147C7F">
      <w:pPr>
        <w:spacing w:after="0" w:line="240" w:lineRule="auto"/>
        <w:ind w:left="720" w:hanging="720"/>
      </w:pPr>
    </w:p>
    <w:p w:rsidR="00147C7F" w:rsidRDefault="00147C7F" w:rsidP="00147C7F">
      <w:pPr>
        <w:spacing w:after="0" w:line="240" w:lineRule="auto"/>
        <w:ind w:left="720" w:hanging="720"/>
      </w:pPr>
    </w:p>
    <w:p w:rsidR="006D643D" w:rsidRDefault="006D643D" w:rsidP="00213513">
      <w:pPr>
        <w:spacing w:after="0" w:line="240" w:lineRule="auto"/>
        <w:ind w:left="720" w:hanging="720"/>
      </w:pPr>
    </w:p>
    <w:p w:rsidR="00BE7513" w:rsidRDefault="00BE7513" w:rsidP="00BE7513">
      <w:pPr>
        <w:spacing w:after="0" w:line="240" w:lineRule="auto"/>
        <w:rPr>
          <w:b/>
        </w:rPr>
      </w:pPr>
    </w:p>
    <w:p w:rsidR="00BE7513" w:rsidRDefault="00BE7513" w:rsidP="00BE7513">
      <w:pPr>
        <w:spacing w:after="0" w:line="240" w:lineRule="auto"/>
        <w:rPr>
          <w:b/>
        </w:rPr>
      </w:pPr>
      <w:r>
        <w:rPr>
          <w:b/>
        </w:rPr>
        <w:t>OTHER</w:t>
      </w:r>
      <w:r w:rsidR="008519B0">
        <w:rPr>
          <w:b/>
        </w:rPr>
        <w:t xml:space="preserve"> DUTIES</w:t>
      </w:r>
    </w:p>
    <w:p w:rsidR="00BE7513" w:rsidRDefault="00BE7513" w:rsidP="00BE7513">
      <w:pPr>
        <w:spacing w:after="0" w:line="240" w:lineRule="auto"/>
        <w:rPr>
          <w:b/>
        </w:rPr>
      </w:pPr>
    </w:p>
    <w:p w:rsidR="00BE7513" w:rsidRDefault="00BE7513" w:rsidP="00BE7513">
      <w:pPr>
        <w:spacing w:after="0" w:line="240" w:lineRule="auto"/>
        <w:rPr>
          <w:b/>
        </w:rPr>
      </w:pPr>
      <w:r>
        <w:rPr>
          <w:b/>
        </w:rPr>
        <w:t>1.</w:t>
      </w:r>
      <w:r w:rsidR="00172AC3">
        <w:rPr>
          <w:b/>
        </w:rPr>
        <w:tab/>
      </w:r>
      <w:r w:rsidR="001F37D2">
        <w:rPr>
          <w:b/>
        </w:rPr>
        <w:t>To undertake any duty of a similar nature which may be assigned from time to time.</w:t>
      </w:r>
    </w:p>
    <w:p w:rsidR="00BE7513" w:rsidRDefault="00BE7513" w:rsidP="00BE7513">
      <w:pPr>
        <w:spacing w:after="0" w:line="240" w:lineRule="auto"/>
        <w:rPr>
          <w:b/>
        </w:rPr>
      </w:pPr>
    </w:p>
    <w:p w:rsidR="00213513" w:rsidRDefault="00213513" w:rsidP="00BE7513">
      <w:pPr>
        <w:spacing w:after="0" w:line="240" w:lineRule="auto"/>
        <w:rPr>
          <w:b/>
        </w:rPr>
      </w:pPr>
    </w:p>
    <w:p w:rsidR="00147C7F" w:rsidRDefault="00147C7F" w:rsidP="00BE7513">
      <w:pPr>
        <w:spacing w:after="0" w:line="240" w:lineRule="auto"/>
        <w:rPr>
          <w:b/>
        </w:rPr>
      </w:pPr>
    </w:p>
    <w:p w:rsidR="00147C7F" w:rsidRDefault="00147C7F" w:rsidP="00BE7513">
      <w:pPr>
        <w:spacing w:after="0" w:line="240" w:lineRule="auto"/>
        <w:rPr>
          <w:b/>
        </w:rPr>
      </w:pPr>
    </w:p>
    <w:p w:rsidR="00BE7513" w:rsidRPr="00BE7513" w:rsidRDefault="00BE7513" w:rsidP="00BE7513">
      <w:pPr>
        <w:pBdr>
          <w:top w:val="single" w:sz="4" w:space="1" w:color="auto"/>
        </w:pBdr>
        <w:spacing w:after="0" w:line="240" w:lineRule="auto"/>
        <w:jc w:val="both"/>
        <w:rPr>
          <w:rFonts w:ascii="Arial" w:eastAsia="Times New Roman" w:hAnsi="Arial" w:cs="Times New Roman"/>
          <w:szCs w:val="20"/>
        </w:rPr>
      </w:pPr>
    </w:p>
    <w:p w:rsidR="00BE7513" w:rsidRPr="00883F0D" w:rsidRDefault="00BE7513" w:rsidP="00BE7513">
      <w:pPr>
        <w:keepNext/>
        <w:spacing w:after="0" w:line="240" w:lineRule="auto"/>
        <w:ind w:right="-144"/>
        <w:jc w:val="both"/>
        <w:outlineLvl w:val="4"/>
        <w:rPr>
          <w:rFonts w:eastAsia="Times New Roman" w:cs="Times New Roman"/>
          <w:szCs w:val="20"/>
          <w:u w:val="single"/>
        </w:rPr>
      </w:pPr>
      <w:r w:rsidRPr="00883F0D">
        <w:rPr>
          <w:rFonts w:eastAsia="Times New Roman" w:cs="Times New Roman"/>
          <w:szCs w:val="20"/>
          <w:u w:val="single"/>
        </w:rPr>
        <w:t>General Statement</w:t>
      </w:r>
    </w:p>
    <w:p w:rsidR="00BE7513" w:rsidRPr="00883F0D" w:rsidRDefault="00BE7513" w:rsidP="00BE7513">
      <w:pPr>
        <w:spacing w:after="0" w:line="240" w:lineRule="auto"/>
        <w:ind w:right="-144"/>
        <w:jc w:val="both"/>
        <w:rPr>
          <w:rFonts w:eastAsia="Times New Roman" w:cs="Times New Roman"/>
          <w:szCs w:val="20"/>
        </w:rPr>
      </w:pPr>
    </w:p>
    <w:p w:rsidR="00BE7513" w:rsidRPr="00883F0D" w:rsidRDefault="00ED306B" w:rsidP="00BE7513">
      <w:pPr>
        <w:spacing w:after="0" w:line="240" w:lineRule="auto"/>
        <w:ind w:right="-144"/>
        <w:jc w:val="both"/>
        <w:rPr>
          <w:rFonts w:eastAsia="Times New Roman" w:cs="Times New Roman"/>
          <w:szCs w:val="20"/>
        </w:rPr>
      </w:pPr>
      <w:r w:rsidRPr="00883F0D">
        <w:rPr>
          <w:rFonts w:eastAsia="Times New Roman" w:cs="Times New Roman"/>
          <w:szCs w:val="20"/>
        </w:rPr>
        <w:t>The above duties</w:t>
      </w:r>
      <w:r w:rsidR="00BE7513" w:rsidRPr="00883F0D">
        <w:rPr>
          <w:rFonts w:eastAsia="Times New Roman" w:cs="Times New Roman"/>
          <w:szCs w:val="20"/>
        </w:rPr>
        <w:t xml:space="preserve"> do not include or define all tasks that may be required</w:t>
      </w:r>
      <w:r w:rsidRPr="00883F0D">
        <w:rPr>
          <w:rFonts w:eastAsia="Times New Roman" w:cs="Times New Roman"/>
          <w:szCs w:val="20"/>
        </w:rPr>
        <w:t xml:space="preserve"> by the </w:t>
      </w:r>
      <w:proofErr w:type="spellStart"/>
      <w:r w:rsidRPr="00883F0D">
        <w:rPr>
          <w:rFonts w:eastAsia="Times New Roman" w:cs="Times New Roman"/>
          <w:szCs w:val="20"/>
        </w:rPr>
        <w:t>postholder</w:t>
      </w:r>
      <w:proofErr w:type="spellEnd"/>
      <w:r w:rsidRPr="00883F0D">
        <w:rPr>
          <w:rFonts w:eastAsia="Times New Roman" w:cs="Times New Roman"/>
          <w:szCs w:val="20"/>
        </w:rPr>
        <w:t xml:space="preserve">.  The duties may </w:t>
      </w:r>
      <w:r w:rsidR="00BE7513" w:rsidRPr="00883F0D">
        <w:rPr>
          <w:rFonts w:eastAsia="Times New Roman" w:cs="Times New Roman"/>
          <w:szCs w:val="20"/>
        </w:rPr>
        <w:t>vary without changing the general character of the duties or the level of responsibility entailed.  These factors are reflected in the grading of the post.</w:t>
      </w:r>
    </w:p>
    <w:p w:rsidR="00BE7513" w:rsidRPr="00883F0D" w:rsidRDefault="00BE7513" w:rsidP="00BE7513">
      <w:pPr>
        <w:spacing w:after="0" w:line="240" w:lineRule="auto"/>
        <w:ind w:right="-144"/>
        <w:jc w:val="both"/>
        <w:rPr>
          <w:rFonts w:eastAsia="Times New Roman" w:cs="Times New Roman"/>
          <w:szCs w:val="20"/>
        </w:rPr>
      </w:pPr>
    </w:p>
    <w:p w:rsidR="00BE7513" w:rsidRPr="00883F0D" w:rsidRDefault="00BE7513" w:rsidP="00BE7513">
      <w:pPr>
        <w:keepNext/>
        <w:spacing w:after="0" w:line="240" w:lineRule="auto"/>
        <w:ind w:right="-144"/>
        <w:jc w:val="both"/>
        <w:outlineLvl w:val="3"/>
        <w:rPr>
          <w:rFonts w:eastAsia="Times New Roman" w:cs="Times New Roman"/>
          <w:szCs w:val="20"/>
          <w:u w:val="single"/>
        </w:rPr>
      </w:pPr>
      <w:r w:rsidRPr="00883F0D">
        <w:rPr>
          <w:rFonts w:eastAsia="Times New Roman" w:cs="Times New Roman"/>
          <w:szCs w:val="20"/>
          <w:u w:val="single"/>
        </w:rPr>
        <w:t>Health and Safety at Work</w:t>
      </w:r>
    </w:p>
    <w:p w:rsidR="00BE7513" w:rsidRPr="00883F0D" w:rsidRDefault="00BE7513" w:rsidP="00BE7513">
      <w:pPr>
        <w:spacing w:after="0" w:line="240" w:lineRule="auto"/>
        <w:ind w:right="-144"/>
        <w:jc w:val="both"/>
        <w:rPr>
          <w:rFonts w:eastAsia="Times New Roman" w:cs="Times New Roman"/>
          <w:szCs w:val="20"/>
        </w:rPr>
      </w:pPr>
    </w:p>
    <w:p w:rsidR="00BE7513" w:rsidRPr="00883F0D" w:rsidRDefault="00BE7513" w:rsidP="00BE7513">
      <w:pPr>
        <w:spacing w:after="0" w:line="240" w:lineRule="auto"/>
        <w:ind w:right="-144"/>
        <w:jc w:val="both"/>
        <w:rPr>
          <w:rFonts w:eastAsia="Times New Roman" w:cs="Times New Roman"/>
          <w:szCs w:val="20"/>
        </w:rPr>
      </w:pPr>
      <w:r w:rsidRPr="00883F0D">
        <w:rPr>
          <w:rFonts w:eastAsia="Times New Roman" w:cs="Times New Roman"/>
          <w:szCs w:val="20"/>
        </w:rPr>
        <w:t>The Health and Safety at Work Act stipulates that it is the responsibility of every employee to observe all rules governing health and safety and such safety equipment as provided must be used.</w:t>
      </w:r>
    </w:p>
    <w:p w:rsidR="00BE7513" w:rsidRPr="00883F0D" w:rsidRDefault="00BE7513" w:rsidP="00BE7513">
      <w:pPr>
        <w:spacing w:after="0" w:line="240" w:lineRule="auto"/>
        <w:ind w:right="-144"/>
        <w:jc w:val="both"/>
        <w:rPr>
          <w:rFonts w:eastAsia="Times New Roman" w:cs="Times New Roman"/>
          <w:szCs w:val="20"/>
        </w:rPr>
      </w:pPr>
    </w:p>
    <w:p w:rsidR="00BE7513" w:rsidRPr="00883F0D" w:rsidRDefault="00BE7513" w:rsidP="00BE7513">
      <w:pPr>
        <w:keepNext/>
        <w:spacing w:after="0" w:line="240" w:lineRule="auto"/>
        <w:ind w:right="-144"/>
        <w:jc w:val="both"/>
        <w:outlineLvl w:val="3"/>
        <w:rPr>
          <w:rFonts w:eastAsia="Times New Roman" w:cs="Times New Roman"/>
          <w:szCs w:val="20"/>
          <w:u w:val="single"/>
        </w:rPr>
      </w:pPr>
      <w:r w:rsidRPr="00883F0D">
        <w:rPr>
          <w:rFonts w:eastAsia="Times New Roman" w:cs="Times New Roman"/>
          <w:szCs w:val="20"/>
          <w:u w:val="single"/>
        </w:rPr>
        <w:t>Equal Opportunities</w:t>
      </w:r>
    </w:p>
    <w:p w:rsidR="00BE7513" w:rsidRPr="00883F0D" w:rsidRDefault="00BE7513" w:rsidP="00BE7513">
      <w:pPr>
        <w:spacing w:after="0" w:line="240" w:lineRule="auto"/>
        <w:ind w:right="-144"/>
        <w:jc w:val="both"/>
        <w:rPr>
          <w:rFonts w:eastAsia="Times New Roman" w:cs="Times New Roman"/>
          <w:szCs w:val="20"/>
        </w:rPr>
      </w:pPr>
    </w:p>
    <w:p w:rsidR="00BE7513" w:rsidRPr="00883F0D" w:rsidRDefault="00BE7513" w:rsidP="00BE7513">
      <w:pPr>
        <w:spacing w:after="0" w:line="240" w:lineRule="auto"/>
        <w:ind w:right="-144"/>
        <w:jc w:val="both"/>
        <w:rPr>
          <w:rFonts w:eastAsia="Times New Roman" w:cs="Times New Roman"/>
          <w:szCs w:val="20"/>
        </w:rPr>
      </w:pPr>
      <w:r w:rsidRPr="00883F0D">
        <w:rPr>
          <w:rFonts w:eastAsia="Times New Roman" w:cs="Times New Roman"/>
          <w:szCs w:val="20"/>
        </w:rPr>
        <w:t>The Waste Disposal Authority is an Equal Opportunities Employer and has equal opportunities policies with which you are expected to comply at all times.  The Authority condemns all forms of harassment and is actively seeking to promote a workplace where employees are treated with dignity, respect and without bias.</w:t>
      </w:r>
    </w:p>
    <w:p w:rsidR="00BE7513" w:rsidRPr="00883F0D" w:rsidRDefault="00BE7513" w:rsidP="00BE7513">
      <w:pPr>
        <w:spacing w:after="0" w:line="240" w:lineRule="auto"/>
        <w:rPr>
          <w:rFonts w:eastAsia="Times New Roman" w:cs="Times New Roman"/>
          <w:szCs w:val="20"/>
        </w:rPr>
      </w:pPr>
    </w:p>
    <w:p w:rsidR="00883F0D" w:rsidRPr="00883F0D" w:rsidRDefault="00883F0D" w:rsidP="00883F0D">
      <w:pPr>
        <w:spacing w:after="0" w:line="240" w:lineRule="auto"/>
        <w:ind w:right="-144"/>
        <w:jc w:val="both"/>
        <w:rPr>
          <w:rFonts w:eastAsia="Times New Roman" w:cs="Times New Roman"/>
          <w:szCs w:val="20"/>
          <w:u w:val="single"/>
        </w:rPr>
      </w:pPr>
      <w:r w:rsidRPr="00883F0D">
        <w:rPr>
          <w:rFonts w:eastAsia="Times New Roman" w:cs="Times New Roman"/>
          <w:szCs w:val="20"/>
          <w:u w:val="single"/>
        </w:rPr>
        <w:t>Risk Management</w:t>
      </w:r>
    </w:p>
    <w:p w:rsidR="00883F0D" w:rsidRPr="00883F0D" w:rsidRDefault="00883F0D" w:rsidP="00883F0D">
      <w:pPr>
        <w:spacing w:after="0" w:line="240" w:lineRule="auto"/>
        <w:ind w:right="-144"/>
        <w:jc w:val="both"/>
        <w:rPr>
          <w:rFonts w:eastAsia="Times New Roman" w:cs="Times New Roman"/>
          <w:szCs w:val="20"/>
          <w:u w:val="single"/>
        </w:rPr>
      </w:pPr>
    </w:p>
    <w:p w:rsidR="00883F0D" w:rsidRPr="00883F0D" w:rsidRDefault="00883F0D" w:rsidP="00883F0D">
      <w:pPr>
        <w:spacing w:after="0" w:line="240" w:lineRule="auto"/>
        <w:rPr>
          <w:rFonts w:eastAsia="Times New Roman" w:cs="Times New Roman"/>
          <w:szCs w:val="20"/>
        </w:rPr>
      </w:pPr>
      <w:r w:rsidRPr="00883F0D">
        <w:rPr>
          <w:rFonts w:eastAsia="Times New Roman" w:cs="Times New Roman"/>
          <w:szCs w:val="20"/>
        </w:rPr>
        <w:t xml:space="preserve">To support and contribute to the delivery of the Authority’s Risk Management Strategy and to effectively manage those strategic and operational risks for which the manager has responsibility. </w:t>
      </w:r>
    </w:p>
    <w:p w:rsidR="00883F0D" w:rsidRPr="00883F0D" w:rsidRDefault="00883F0D" w:rsidP="00883F0D">
      <w:pPr>
        <w:spacing w:after="0" w:line="240" w:lineRule="auto"/>
        <w:ind w:right="-144"/>
        <w:jc w:val="both"/>
        <w:rPr>
          <w:rFonts w:eastAsia="Times New Roman" w:cs="Times New Roman"/>
          <w:szCs w:val="20"/>
          <w:u w:val="single"/>
        </w:rPr>
      </w:pPr>
    </w:p>
    <w:p w:rsidR="00147C7F" w:rsidRDefault="00147C7F" w:rsidP="00883F0D">
      <w:pPr>
        <w:spacing w:after="0" w:line="240" w:lineRule="auto"/>
        <w:rPr>
          <w:rFonts w:eastAsia="Times New Roman" w:cs="Times New Roman"/>
          <w:szCs w:val="20"/>
          <w:u w:val="single"/>
        </w:rPr>
      </w:pPr>
    </w:p>
    <w:p w:rsidR="00147C7F" w:rsidRDefault="00147C7F" w:rsidP="00883F0D">
      <w:pPr>
        <w:spacing w:after="0" w:line="240" w:lineRule="auto"/>
        <w:rPr>
          <w:rFonts w:eastAsia="Times New Roman" w:cs="Times New Roman"/>
          <w:szCs w:val="20"/>
          <w:u w:val="single"/>
        </w:rPr>
      </w:pPr>
    </w:p>
    <w:p w:rsidR="00883F0D" w:rsidRPr="00883F0D" w:rsidRDefault="00883F0D" w:rsidP="00883F0D">
      <w:pPr>
        <w:spacing w:after="0" w:line="240" w:lineRule="auto"/>
        <w:rPr>
          <w:rFonts w:eastAsia="Times New Roman" w:cs="Times New Roman"/>
          <w:szCs w:val="20"/>
          <w:u w:val="single"/>
        </w:rPr>
      </w:pPr>
      <w:r w:rsidRPr="00883F0D">
        <w:rPr>
          <w:rFonts w:eastAsia="Times New Roman" w:cs="Times New Roman"/>
          <w:szCs w:val="20"/>
          <w:u w:val="single"/>
        </w:rPr>
        <w:t>Sustainable Procurement</w:t>
      </w:r>
    </w:p>
    <w:p w:rsidR="00883F0D" w:rsidRPr="00883F0D" w:rsidRDefault="00883F0D" w:rsidP="00883F0D">
      <w:pPr>
        <w:spacing w:after="0" w:line="240" w:lineRule="auto"/>
        <w:rPr>
          <w:rFonts w:eastAsia="Times New Roman" w:cs="Times New Roman"/>
          <w:szCs w:val="20"/>
          <w:u w:val="single"/>
        </w:rPr>
      </w:pPr>
    </w:p>
    <w:p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To effectively requisition goods and services in line with the Authority’s sustainable procurement policy</w:t>
      </w:r>
    </w:p>
    <w:p w:rsidR="00883F0D" w:rsidRPr="00883F0D" w:rsidRDefault="00883F0D" w:rsidP="00883F0D">
      <w:pPr>
        <w:spacing w:after="0" w:line="240" w:lineRule="auto"/>
        <w:jc w:val="both"/>
        <w:rPr>
          <w:rFonts w:eastAsia="Times New Roman" w:cs="Times New Roman"/>
          <w:szCs w:val="20"/>
        </w:rPr>
      </w:pPr>
    </w:p>
    <w:p w:rsidR="00883F0D" w:rsidRPr="00883F0D" w:rsidRDefault="00883F0D" w:rsidP="00883F0D">
      <w:pPr>
        <w:spacing w:after="0" w:line="240" w:lineRule="auto"/>
        <w:jc w:val="both"/>
        <w:rPr>
          <w:rFonts w:ascii="Arial" w:eastAsia="Times New Roman" w:hAnsi="Arial" w:cs="Times New Roman"/>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118"/>
        <w:gridCol w:w="2504"/>
      </w:tblGrid>
      <w:tr w:rsidR="00883F0D" w:rsidRPr="00883F0D" w:rsidTr="00147C7F">
        <w:tc>
          <w:tcPr>
            <w:tcW w:w="2310" w:type="dxa"/>
          </w:tcPr>
          <w:p w:rsidR="00883F0D" w:rsidRPr="00883F0D" w:rsidRDefault="00883F0D" w:rsidP="00883F0D">
            <w:pPr>
              <w:spacing w:after="0" w:line="240" w:lineRule="auto"/>
              <w:jc w:val="both"/>
              <w:rPr>
                <w:rFonts w:eastAsia="Times New Roman" w:cs="Times New Roman"/>
                <w:szCs w:val="20"/>
              </w:rPr>
            </w:pPr>
          </w:p>
        </w:tc>
        <w:tc>
          <w:tcPr>
            <w:tcW w:w="2310" w:type="dxa"/>
          </w:tcPr>
          <w:p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Date</w:t>
            </w:r>
          </w:p>
        </w:tc>
        <w:tc>
          <w:tcPr>
            <w:tcW w:w="2118" w:type="dxa"/>
          </w:tcPr>
          <w:p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Name</w:t>
            </w:r>
          </w:p>
        </w:tc>
        <w:tc>
          <w:tcPr>
            <w:tcW w:w="2504" w:type="dxa"/>
          </w:tcPr>
          <w:p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Post  Title</w:t>
            </w:r>
          </w:p>
        </w:tc>
      </w:tr>
      <w:tr w:rsidR="00883F0D" w:rsidRPr="00883F0D" w:rsidTr="00147C7F">
        <w:tc>
          <w:tcPr>
            <w:tcW w:w="2310" w:type="dxa"/>
          </w:tcPr>
          <w:p w:rsidR="00883F0D" w:rsidRPr="00883F0D" w:rsidRDefault="00883F0D" w:rsidP="00883F0D">
            <w:pPr>
              <w:spacing w:after="0" w:line="240" w:lineRule="auto"/>
              <w:jc w:val="both"/>
              <w:rPr>
                <w:rFonts w:eastAsia="Times New Roman" w:cs="Times New Roman"/>
                <w:szCs w:val="20"/>
              </w:rPr>
            </w:pPr>
          </w:p>
        </w:tc>
        <w:tc>
          <w:tcPr>
            <w:tcW w:w="2310" w:type="dxa"/>
          </w:tcPr>
          <w:p w:rsidR="00883F0D" w:rsidRPr="00883F0D" w:rsidRDefault="000C5761" w:rsidP="00883F0D">
            <w:pPr>
              <w:spacing w:after="0" w:line="240" w:lineRule="auto"/>
              <w:jc w:val="both"/>
              <w:rPr>
                <w:rFonts w:eastAsia="Times New Roman" w:cs="Times New Roman"/>
                <w:szCs w:val="20"/>
              </w:rPr>
            </w:pPr>
            <w:r>
              <w:rPr>
                <w:rFonts w:eastAsia="Times New Roman" w:cs="Times New Roman"/>
                <w:szCs w:val="20"/>
              </w:rPr>
              <w:t>10</w:t>
            </w:r>
            <w:r w:rsidRPr="000C5761">
              <w:rPr>
                <w:rFonts w:eastAsia="Times New Roman" w:cs="Times New Roman"/>
                <w:szCs w:val="20"/>
                <w:vertAlign w:val="superscript"/>
              </w:rPr>
              <w:t>th</w:t>
            </w:r>
            <w:r>
              <w:rPr>
                <w:rFonts w:eastAsia="Times New Roman" w:cs="Times New Roman"/>
                <w:szCs w:val="20"/>
              </w:rPr>
              <w:t xml:space="preserve"> June, 2019</w:t>
            </w:r>
          </w:p>
        </w:tc>
        <w:tc>
          <w:tcPr>
            <w:tcW w:w="2118" w:type="dxa"/>
          </w:tcPr>
          <w:p w:rsidR="00883F0D" w:rsidRPr="00883F0D" w:rsidRDefault="000C5761" w:rsidP="00883F0D">
            <w:pPr>
              <w:spacing w:after="0" w:line="240" w:lineRule="auto"/>
              <w:jc w:val="both"/>
              <w:rPr>
                <w:rFonts w:eastAsia="Times New Roman" w:cs="Times New Roman"/>
                <w:szCs w:val="20"/>
              </w:rPr>
            </w:pPr>
            <w:r>
              <w:rPr>
                <w:rFonts w:eastAsia="Times New Roman" w:cs="Times New Roman"/>
                <w:szCs w:val="20"/>
              </w:rPr>
              <w:t>Paula Pocock</w:t>
            </w:r>
          </w:p>
        </w:tc>
        <w:tc>
          <w:tcPr>
            <w:tcW w:w="2504" w:type="dxa"/>
          </w:tcPr>
          <w:p w:rsidR="00883F0D" w:rsidRPr="00883F0D" w:rsidRDefault="000C5761" w:rsidP="00883F0D">
            <w:pPr>
              <w:spacing w:after="0" w:line="240" w:lineRule="auto"/>
              <w:jc w:val="both"/>
              <w:rPr>
                <w:rFonts w:eastAsia="Times New Roman" w:cs="Times New Roman"/>
                <w:szCs w:val="20"/>
              </w:rPr>
            </w:pPr>
            <w:r>
              <w:rPr>
                <w:rFonts w:eastAsia="Times New Roman" w:cs="Times New Roman"/>
                <w:szCs w:val="20"/>
              </w:rPr>
              <w:t>AD Business Services &amp; Strategy</w:t>
            </w:r>
          </w:p>
        </w:tc>
      </w:tr>
      <w:tr w:rsidR="00147C7F" w:rsidRPr="00883F0D" w:rsidTr="00147C7F">
        <w:tc>
          <w:tcPr>
            <w:tcW w:w="2310" w:type="dxa"/>
          </w:tcPr>
          <w:p w:rsidR="00147C7F" w:rsidRDefault="00147C7F" w:rsidP="00883F0D">
            <w:pPr>
              <w:spacing w:after="0" w:line="240" w:lineRule="auto"/>
              <w:jc w:val="both"/>
              <w:rPr>
                <w:rFonts w:eastAsia="Times New Roman" w:cs="Times New Roman"/>
                <w:szCs w:val="20"/>
              </w:rPr>
            </w:pPr>
          </w:p>
        </w:tc>
        <w:tc>
          <w:tcPr>
            <w:tcW w:w="2310" w:type="dxa"/>
          </w:tcPr>
          <w:p w:rsidR="00147C7F" w:rsidRDefault="00147C7F" w:rsidP="00883F0D">
            <w:pPr>
              <w:spacing w:after="0" w:line="240" w:lineRule="auto"/>
              <w:jc w:val="both"/>
              <w:rPr>
                <w:rFonts w:eastAsia="Times New Roman" w:cs="Times New Roman"/>
                <w:szCs w:val="20"/>
              </w:rPr>
            </w:pPr>
          </w:p>
        </w:tc>
        <w:tc>
          <w:tcPr>
            <w:tcW w:w="2118" w:type="dxa"/>
          </w:tcPr>
          <w:p w:rsidR="00147C7F" w:rsidRDefault="00147C7F" w:rsidP="00883F0D">
            <w:pPr>
              <w:spacing w:after="0" w:line="240" w:lineRule="auto"/>
              <w:jc w:val="both"/>
              <w:rPr>
                <w:rFonts w:eastAsia="Times New Roman" w:cs="Times New Roman"/>
                <w:szCs w:val="20"/>
              </w:rPr>
            </w:pPr>
          </w:p>
        </w:tc>
        <w:tc>
          <w:tcPr>
            <w:tcW w:w="2504" w:type="dxa"/>
          </w:tcPr>
          <w:p w:rsidR="00147C7F" w:rsidRDefault="00147C7F" w:rsidP="00883F0D">
            <w:pPr>
              <w:spacing w:after="0" w:line="240" w:lineRule="auto"/>
              <w:jc w:val="both"/>
              <w:rPr>
                <w:rFonts w:eastAsia="Times New Roman" w:cs="Times New Roman"/>
                <w:szCs w:val="20"/>
              </w:rPr>
            </w:pPr>
          </w:p>
        </w:tc>
      </w:tr>
      <w:tr w:rsidR="00DF47E7" w:rsidRPr="00883F0D" w:rsidTr="00147C7F">
        <w:tc>
          <w:tcPr>
            <w:tcW w:w="2310" w:type="dxa"/>
          </w:tcPr>
          <w:p w:rsidR="00DF47E7" w:rsidRDefault="00DF47E7" w:rsidP="00883F0D">
            <w:pPr>
              <w:spacing w:after="0" w:line="240" w:lineRule="auto"/>
              <w:jc w:val="both"/>
              <w:rPr>
                <w:rFonts w:eastAsia="Times New Roman" w:cs="Times New Roman"/>
                <w:szCs w:val="20"/>
              </w:rPr>
            </w:pPr>
          </w:p>
        </w:tc>
        <w:tc>
          <w:tcPr>
            <w:tcW w:w="2310" w:type="dxa"/>
          </w:tcPr>
          <w:p w:rsidR="00DF47E7" w:rsidRDefault="00DF47E7" w:rsidP="00883F0D">
            <w:pPr>
              <w:spacing w:after="0" w:line="240" w:lineRule="auto"/>
              <w:jc w:val="both"/>
              <w:rPr>
                <w:rFonts w:eastAsia="Times New Roman" w:cs="Times New Roman"/>
                <w:szCs w:val="20"/>
              </w:rPr>
            </w:pPr>
          </w:p>
        </w:tc>
        <w:tc>
          <w:tcPr>
            <w:tcW w:w="2118" w:type="dxa"/>
          </w:tcPr>
          <w:p w:rsidR="00DF47E7" w:rsidRDefault="00DF47E7" w:rsidP="00883F0D">
            <w:pPr>
              <w:spacing w:after="0" w:line="240" w:lineRule="auto"/>
              <w:jc w:val="both"/>
              <w:rPr>
                <w:rFonts w:eastAsia="Times New Roman" w:cs="Times New Roman"/>
                <w:szCs w:val="20"/>
              </w:rPr>
            </w:pPr>
          </w:p>
        </w:tc>
        <w:tc>
          <w:tcPr>
            <w:tcW w:w="2504" w:type="dxa"/>
          </w:tcPr>
          <w:p w:rsidR="00DF47E7" w:rsidRDefault="00DF47E7" w:rsidP="00883F0D">
            <w:pPr>
              <w:spacing w:after="0" w:line="240" w:lineRule="auto"/>
              <w:jc w:val="both"/>
              <w:rPr>
                <w:rFonts w:eastAsia="Times New Roman" w:cs="Times New Roman"/>
                <w:szCs w:val="20"/>
              </w:rPr>
            </w:pPr>
          </w:p>
        </w:tc>
      </w:tr>
    </w:tbl>
    <w:p w:rsidR="001B6980" w:rsidRPr="00BE7513" w:rsidRDefault="001B6980" w:rsidP="00BE7513">
      <w:pPr>
        <w:spacing w:after="0" w:line="240" w:lineRule="auto"/>
        <w:rPr>
          <w:b/>
        </w:rPr>
      </w:pPr>
    </w:p>
    <w:sectPr w:rsidR="001B6980" w:rsidRPr="00BE7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9699C"/>
    <w:multiLevelType w:val="hybridMultilevel"/>
    <w:tmpl w:val="BE4CE0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5C17DF"/>
    <w:multiLevelType w:val="hybridMultilevel"/>
    <w:tmpl w:val="1152E0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C2F67F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4D55D39"/>
    <w:multiLevelType w:val="hybridMultilevel"/>
    <w:tmpl w:val="E7D45B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13"/>
    <w:rsid w:val="00053BF7"/>
    <w:rsid w:val="000A529E"/>
    <w:rsid w:val="000C5761"/>
    <w:rsid w:val="000E68D9"/>
    <w:rsid w:val="001046CA"/>
    <w:rsid w:val="00115F98"/>
    <w:rsid w:val="00147C7F"/>
    <w:rsid w:val="00172AC3"/>
    <w:rsid w:val="001B6980"/>
    <w:rsid w:val="001D7384"/>
    <w:rsid w:val="001E3C7E"/>
    <w:rsid w:val="001F37D2"/>
    <w:rsid w:val="00213513"/>
    <w:rsid w:val="00335B76"/>
    <w:rsid w:val="00461CDF"/>
    <w:rsid w:val="0046796F"/>
    <w:rsid w:val="0048213C"/>
    <w:rsid w:val="004A65A8"/>
    <w:rsid w:val="004F693B"/>
    <w:rsid w:val="005426D9"/>
    <w:rsid w:val="006016DC"/>
    <w:rsid w:val="00620726"/>
    <w:rsid w:val="00677C31"/>
    <w:rsid w:val="006A4059"/>
    <w:rsid w:val="006D643D"/>
    <w:rsid w:val="00716F83"/>
    <w:rsid w:val="00740FD9"/>
    <w:rsid w:val="007E2990"/>
    <w:rsid w:val="008519B0"/>
    <w:rsid w:val="00883F0D"/>
    <w:rsid w:val="00887C14"/>
    <w:rsid w:val="00895CC4"/>
    <w:rsid w:val="00923D9D"/>
    <w:rsid w:val="00933BC3"/>
    <w:rsid w:val="00941338"/>
    <w:rsid w:val="00951C03"/>
    <w:rsid w:val="009F7881"/>
    <w:rsid w:val="00A44768"/>
    <w:rsid w:val="00AC1ABF"/>
    <w:rsid w:val="00B071CA"/>
    <w:rsid w:val="00B07CAF"/>
    <w:rsid w:val="00BA39A5"/>
    <w:rsid w:val="00BE7513"/>
    <w:rsid w:val="00C872E6"/>
    <w:rsid w:val="00CB1554"/>
    <w:rsid w:val="00D112F8"/>
    <w:rsid w:val="00D9216F"/>
    <w:rsid w:val="00DF1E70"/>
    <w:rsid w:val="00DF47E7"/>
    <w:rsid w:val="00E65333"/>
    <w:rsid w:val="00ED306B"/>
    <w:rsid w:val="00ED4A96"/>
    <w:rsid w:val="00EF6786"/>
    <w:rsid w:val="00F401CA"/>
    <w:rsid w:val="00FB1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DE2E"/>
  <w15:docId w15:val="{8653E826-8E05-409C-906A-498C811A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13"/>
    <w:rPr>
      <w:rFonts w:ascii="Tahoma" w:hAnsi="Tahoma" w:cs="Tahoma"/>
      <w:sz w:val="16"/>
      <w:szCs w:val="16"/>
    </w:rPr>
  </w:style>
  <w:style w:type="table" w:styleId="TableGrid">
    <w:name w:val="Table Grid"/>
    <w:basedOn w:val="TableNormal"/>
    <w:uiPriority w:val="59"/>
    <w:rsid w:val="00BE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1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872E6"/>
    <w:rPr>
      <w:sz w:val="16"/>
      <w:szCs w:val="16"/>
    </w:rPr>
  </w:style>
  <w:style w:type="paragraph" w:styleId="CommentText">
    <w:name w:val="annotation text"/>
    <w:basedOn w:val="Normal"/>
    <w:link w:val="CommentTextChar"/>
    <w:uiPriority w:val="99"/>
    <w:semiHidden/>
    <w:unhideWhenUsed/>
    <w:rsid w:val="00C872E6"/>
    <w:pPr>
      <w:spacing w:line="240" w:lineRule="auto"/>
    </w:pPr>
    <w:rPr>
      <w:sz w:val="20"/>
      <w:szCs w:val="20"/>
    </w:rPr>
  </w:style>
  <w:style w:type="character" w:customStyle="1" w:styleId="CommentTextChar">
    <w:name w:val="Comment Text Char"/>
    <w:basedOn w:val="DefaultParagraphFont"/>
    <w:link w:val="CommentText"/>
    <w:uiPriority w:val="99"/>
    <w:semiHidden/>
    <w:rsid w:val="00C872E6"/>
    <w:rPr>
      <w:sz w:val="20"/>
      <w:szCs w:val="20"/>
    </w:rPr>
  </w:style>
  <w:style w:type="paragraph" w:styleId="CommentSubject">
    <w:name w:val="annotation subject"/>
    <w:basedOn w:val="CommentText"/>
    <w:next w:val="CommentText"/>
    <w:link w:val="CommentSubjectChar"/>
    <w:uiPriority w:val="99"/>
    <w:semiHidden/>
    <w:unhideWhenUsed/>
    <w:rsid w:val="00C872E6"/>
    <w:rPr>
      <w:b/>
      <w:bCs/>
    </w:rPr>
  </w:style>
  <w:style w:type="character" w:customStyle="1" w:styleId="CommentSubjectChar">
    <w:name w:val="Comment Subject Char"/>
    <w:basedOn w:val="CommentTextChar"/>
    <w:link w:val="CommentSubject"/>
    <w:uiPriority w:val="99"/>
    <w:semiHidden/>
    <w:rsid w:val="00C872E6"/>
    <w:rPr>
      <w:b/>
      <w:bCs/>
      <w:sz w:val="20"/>
      <w:szCs w:val="20"/>
    </w:rPr>
  </w:style>
  <w:style w:type="paragraph" w:styleId="ListParagraph">
    <w:name w:val="List Paragraph"/>
    <w:basedOn w:val="Normal"/>
    <w:uiPriority w:val="34"/>
    <w:qFormat/>
    <w:rsid w:val="00DF4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ED9E-F13D-4588-AC7F-B092C416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Pocock, Paula</dc:creator>
  <cp:lastModifiedBy>Nolan, Jane</cp:lastModifiedBy>
  <cp:revision>6</cp:revision>
  <dcterms:created xsi:type="dcterms:W3CDTF">2019-06-13T10:46:00Z</dcterms:created>
  <dcterms:modified xsi:type="dcterms:W3CDTF">2020-07-02T08:12:00Z</dcterms:modified>
</cp:coreProperties>
</file>