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D8" w:rsidRDefault="00635F36" w:rsidP="00992FD8">
      <w:pPr>
        <w:pStyle w:val="Caption"/>
        <w:keepNext/>
      </w:pPr>
      <w:bookmarkStart w:id="0" w:name="_GoBack"/>
      <w:bookmarkEnd w:id="0"/>
      <w:r>
        <w:t xml:space="preserve">PERFORMANCE </w:t>
      </w:r>
      <w:r w:rsidR="00E67DE6">
        <w:t>SUMMARY</w:t>
      </w:r>
      <w:r w:rsidR="00F00577">
        <w:t xml:space="preserve"> – </w:t>
      </w:r>
      <w:r w:rsidR="008F33F5">
        <w:t>2018-</w:t>
      </w:r>
      <w:r w:rsidR="000F6797">
        <w:t>19</w:t>
      </w:r>
      <w:r w:rsidR="00483D6B">
        <w:t xml:space="preserve">  </w:t>
      </w:r>
    </w:p>
    <w:p w:rsidR="00992FD8" w:rsidRDefault="00992FD8" w:rsidP="00992FD8">
      <w:pPr>
        <w:pStyle w:val="Caption"/>
        <w:keepNext/>
      </w:pPr>
      <w:r>
        <w:t xml:space="preserve">Figure </w:t>
      </w:r>
      <w:fldSimple w:instr=" SEQ Figure \* ARABIC ">
        <w:r w:rsidR="000C470E">
          <w:rPr>
            <w:noProof/>
          </w:rPr>
          <w:t>1</w:t>
        </w:r>
      </w:fldSimple>
      <w:r>
        <w:t xml:space="preserve"> </w:t>
      </w:r>
      <w:r w:rsidR="00607B8C">
        <w:t xml:space="preserve">Overall </w:t>
      </w:r>
      <w:r w:rsidR="00E67DE6">
        <w:t>Progress t</w:t>
      </w:r>
      <w:r>
        <w:t xml:space="preserve">owards </w:t>
      </w:r>
      <w:r w:rsidR="00E67DE6">
        <w:t>c</w:t>
      </w:r>
      <w:r>
        <w:t>ompletion of Service Delivery Plan</w:t>
      </w:r>
      <w:r>
        <w:rPr>
          <w:noProof/>
        </w:rPr>
        <w:t xml:space="preserve"> </w:t>
      </w:r>
      <w:r w:rsidR="002B2B31">
        <w:rPr>
          <w:noProof/>
        </w:rPr>
        <w:t>2018-19</w:t>
      </w:r>
      <w:r w:rsidR="00321A77">
        <w:rPr>
          <w:noProof/>
        </w:rPr>
        <w:t xml:space="preserve">  </w:t>
      </w:r>
      <w:r w:rsidR="00483D6B">
        <w:rPr>
          <w:noProof/>
        </w:rPr>
        <w:t xml:space="preserve"> </w:t>
      </w:r>
    </w:p>
    <w:p w:rsidR="005560B1" w:rsidRDefault="000F6797" w:rsidP="008F33F5">
      <w:pPr>
        <w:jc w:val="center"/>
      </w:pPr>
      <w:r>
        <w:rPr>
          <w:noProof/>
          <w:lang w:eastAsia="en-GB"/>
        </w:rPr>
        <w:drawing>
          <wp:inline distT="0" distB="0" distL="0" distR="0" wp14:anchorId="69FD4205" wp14:editId="33DAB9A5">
            <wp:extent cx="5733142" cy="2576286"/>
            <wp:effectExtent l="0" t="0" r="2032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489" w:rsidRDefault="008F33F5" w:rsidP="0049387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0000" wp14:editId="701AE8F9">
                <wp:simplePos x="0" y="0"/>
                <wp:positionH relativeFrom="column">
                  <wp:posOffset>638629</wp:posOffset>
                </wp:positionH>
                <wp:positionV relativeFrom="paragraph">
                  <wp:posOffset>56879</wp:posOffset>
                </wp:positionV>
                <wp:extent cx="7714342" cy="2351314"/>
                <wp:effectExtent l="0" t="0" r="2032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4342" cy="2351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52" w:rsidRDefault="00F60452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00A9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SUMMARY</w:t>
                            </w:r>
                            <w:r w:rsidRPr="009D00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Performance Reports completed </w:t>
                            </w:r>
                            <w:r w:rsidR="006D70A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End of </w:t>
                            </w:r>
                            <w:r w:rsidR="000F6797">
                              <w:rPr>
                                <w:b/>
                                <w:sz w:val="16"/>
                                <w:szCs w:val="16"/>
                              </w:rPr>
                              <w:t>March 2019</w:t>
                            </w:r>
                          </w:p>
                          <w:p w:rsidR="002B2B31" w:rsidRDefault="002B2B31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C6B73" w:rsidRDefault="002B2B31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Across the 4</w:t>
                            </w:r>
                            <w:r w:rsidR="009F658F">
                              <w:rPr>
                                <w:sz w:val="16"/>
                                <w:szCs w:val="16"/>
                              </w:rPr>
                              <w:t xml:space="preserve"> Corporate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ims within the Service Delivery Plan, </w:t>
                            </w:r>
                            <w:r w:rsidR="009F658F">
                              <w:rPr>
                                <w:sz w:val="16"/>
                                <w:szCs w:val="16"/>
                              </w:rPr>
                              <w:t xml:space="preserve">at the end of </w:t>
                            </w:r>
                            <w:r w:rsidR="009B4FC3">
                              <w:rPr>
                                <w:sz w:val="16"/>
                                <w:szCs w:val="16"/>
                              </w:rPr>
                              <w:t>Q</w:t>
                            </w:r>
                            <w:r w:rsidR="000F6797">
                              <w:rPr>
                                <w:sz w:val="16"/>
                                <w:szCs w:val="16"/>
                              </w:rPr>
                              <w:t>uarter 4</w:t>
                            </w:r>
                            <w:r w:rsidR="009F658F">
                              <w:rPr>
                                <w:sz w:val="16"/>
                                <w:szCs w:val="16"/>
                              </w:rPr>
                              <w:t xml:space="preserve"> we stand at </w:t>
                            </w:r>
                            <w:r w:rsidR="00DA48E1">
                              <w:rPr>
                                <w:sz w:val="16"/>
                                <w:szCs w:val="16"/>
                              </w:rPr>
                              <w:t>93</w:t>
                            </w:r>
                            <w:r w:rsidR="00E04BB3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  <w:r w:rsidR="009F658F">
                              <w:rPr>
                                <w:sz w:val="16"/>
                                <w:szCs w:val="16"/>
                              </w:rPr>
                              <w:t xml:space="preserve"> Complet</w:t>
                            </w:r>
                            <w:r w:rsidR="009B4FC3">
                              <w:rPr>
                                <w:sz w:val="16"/>
                                <w:szCs w:val="16"/>
                              </w:rPr>
                              <w:t>ion.</w:t>
                            </w:r>
                            <w:r w:rsidR="00E04BB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We have </w:t>
                            </w:r>
                            <w:r w:rsidR="00B73C88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objectives running this year</w:t>
                            </w:r>
                            <w:r w:rsidR="00887D0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9387F" w:rsidRPr="0049387F">
                              <w:rPr>
                                <w:sz w:val="16"/>
                                <w:szCs w:val="16"/>
                              </w:rPr>
                              <w:t>14 have been</w:t>
                            </w:r>
                            <w:r w:rsidR="00887D0F" w:rsidRPr="0049387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87F" w:rsidRPr="0049387F">
                              <w:rPr>
                                <w:sz w:val="16"/>
                                <w:szCs w:val="16"/>
                              </w:rPr>
                              <w:t xml:space="preserve">completed </w:t>
                            </w:r>
                            <w:r w:rsidRPr="0049387F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="00691D90" w:rsidRPr="0049387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48E1">
                              <w:rPr>
                                <w:sz w:val="16"/>
                                <w:szCs w:val="16"/>
                              </w:rPr>
                              <w:t>9 are reported as behind plan and one completely deferred to 2019/20.</w:t>
                            </w:r>
                          </w:p>
                          <w:p w:rsidR="00930AC0" w:rsidRDefault="00930AC0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0452" w:rsidRDefault="00BE0F38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Deliverability - </w:t>
                            </w:r>
                            <w:r w:rsidR="00EB6106">
                              <w:rPr>
                                <w:sz w:val="16"/>
                                <w:szCs w:val="16"/>
                              </w:rPr>
                              <w:t xml:space="preserve">complex Contract Drafting in respect of the RRC remains ongoing, as does the Mattress Review and the drafting of the Data Strategy.  The capability of </w:t>
                            </w:r>
                            <w:proofErr w:type="spellStart"/>
                            <w:r w:rsidR="00EB6106">
                              <w:rPr>
                                <w:sz w:val="16"/>
                                <w:szCs w:val="16"/>
                              </w:rPr>
                              <w:t>Cognos</w:t>
                            </w:r>
                            <w:proofErr w:type="spellEnd"/>
                            <w:r w:rsidR="00EB6106">
                              <w:rPr>
                                <w:sz w:val="16"/>
                                <w:szCs w:val="16"/>
                              </w:rPr>
                              <w:t xml:space="preserve"> has been delayed due to the need for an upgrade and the lengthy lead in times for this.</w:t>
                            </w: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Sustainability – Options for the continued Bidston Methane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company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and to generate income from Foul Lane have stalled somewhat due to third party positions and changes in law whilst work around the Behavioural Change Wheel and </w:t>
                            </w:r>
                            <w:r w:rsidR="00B32CF1">
                              <w:rPr>
                                <w:sz w:val="16"/>
                                <w:szCs w:val="16"/>
                              </w:rPr>
                              <w:t xml:space="preserve">Sustainability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Return o</w:t>
                            </w:r>
                            <w:r w:rsidR="00B32CF1">
                              <w:rPr>
                                <w:sz w:val="16"/>
                                <w:szCs w:val="16"/>
                              </w:rPr>
                              <w:t>n Investment remain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ongoing.  The JRWMS refresh</w:t>
                            </w:r>
                            <w:r w:rsidR="00DA48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and 20% reduction in </w:t>
                            </w:r>
                            <w:r w:rsidR="00F1740E">
                              <w:rPr>
                                <w:sz w:val="16"/>
                                <w:szCs w:val="16"/>
                              </w:rPr>
                              <w:t>emissions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from food and drink have been deferred to 2019/20.</w:t>
                            </w: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Accountability – The review of the Sustainability Framework has been deferred to May 2019.</w:t>
                            </w: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106" w:rsidRDefault="00EB6106" w:rsidP="00290A2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0452" w:rsidRDefault="00F60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3pt;margin-top:4.5pt;width:607.45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">
                <v:textbox>
                  <w:txbxContent>
                    <w:p w:rsidR="00F60452" w:rsidRDefault="00F60452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9D00A9">
                        <w:rPr>
                          <w:b/>
                          <w:noProof/>
                          <w:sz w:val="16"/>
                          <w:szCs w:val="16"/>
                        </w:rPr>
                        <w:t>SUMMARY</w:t>
                      </w:r>
                      <w:r w:rsidRPr="009D00A9">
                        <w:rPr>
                          <w:b/>
                          <w:sz w:val="16"/>
                          <w:szCs w:val="16"/>
                        </w:rPr>
                        <w:t xml:space="preserve"> - Performance Reports completed </w:t>
                      </w:r>
                      <w:r w:rsidR="006D70A3">
                        <w:rPr>
                          <w:b/>
                          <w:sz w:val="16"/>
                          <w:szCs w:val="16"/>
                        </w:rPr>
                        <w:t xml:space="preserve">End of </w:t>
                      </w:r>
                      <w:r w:rsidR="000F6797">
                        <w:rPr>
                          <w:b/>
                          <w:sz w:val="16"/>
                          <w:szCs w:val="16"/>
                        </w:rPr>
                        <w:t>March 2019</w:t>
                      </w:r>
                    </w:p>
                    <w:p w:rsidR="002B2B31" w:rsidRDefault="002B2B31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C6B73" w:rsidRDefault="002B2B31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Across the 4</w:t>
                      </w:r>
                      <w:r w:rsidR="009F658F">
                        <w:rPr>
                          <w:sz w:val="16"/>
                          <w:szCs w:val="16"/>
                        </w:rPr>
                        <w:t xml:space="preserve"> Corporate A</w:t>
                      </w:r>
                      <w:r>
                        <w:rPr>
                          <w:sz w:val="16"/>
                          <w:szCs w:val="16"/>
                        </w:rPr>
                        <w:t xml:space="preserve">ims within the Service Delivery Plan, </w:t>
                      </w:r>
                      <w:r w:rsidR="009F658F">
                        <w:rPr>
                          <w:sz w:val="16"/>
                          <w:szCs w:val="16"/>
                        </w:rPr>
                        <w:t xml:space="preserve">at the end of </w:t>
                      </w:r>
                      <w:r w:rsidR="009B4FC3">
                        <w:rPr>
                          <w:sz w:val="16"/>
                          <w:szCs w:val="16"/>
                        </w:rPr>
                        <w:t>Q</w:t>
                      </w:r>
                      <w:r w:rsidR="000F6797">
                        <w:rPr>
                          <w:sz w:val="16"/>
                          <w:szCs w:val="16"/>
                        </w:rPr>
                        <w:t>uarter 4</w:t>
                      </w:r>
                      <w:r w:rsidR="009F658F">
                        <w:rPr>
                          <w:sz w:val="16"/>
                          <w:szCs w:val="16"/>
                        </w:rPr>
                        <w:t xml:space="preserve"> we stand at </w:t>
                      </w:r>
                      <w:r w:rsidR="00DA48E1">
                        <w:rPr>
                          <w:sz w:val="16"/>
                          <w:szCs w:val="16"/>
                        </w:rPr>
                        <w:t>93</w:t>
                      </w:r>
                      <w:r w:rsidR="00E04BB3">
                        <w:rPr>
                          <w:sz w:val="16"/>
                          <w:szCs w:val="16"/>
                        </w:rPr>
                        <w:t>%</w:t>
                      </w:r>
                      <w:r w:rsidR="009F658F">
                        <w:rPr>
                          <w:sz w:val="16"/>
                          <w:szCs w:val="16"/>
                        </w:rPr>
                        <w:t xml:space="preserve"> Complet</w:t>
                      </w:r>
                      <w:r w:rsidR="009B4FC3">
                        <w:rPr>
                          <w:sz w:val="16"/>
                          <w:szCs w:val="16"/>
                        </w:rPr>
                        <w:t>ion.</w:t>
                      </w:r>
                      <w:r w:rsidR="00E04BB3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We have </w:t>
                      </w:r>
                      <w:r w:rsidR="00B73C88">
                        <w:rPr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sz w:val="16"/>
                          <w:szCs w:val="16"/>
                        </w:rPr>
                        <w:t xml:space="preserve"> objectives running this year</w:t>
                      </w:r>
                      <w:r w:rsidR="00887D0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9387F" w:rsidRPr="0049387F">
                        <w:rPr>
                          <w:sz w:val="16"/>
                          <w:szCs w:val="16"/>
                        </w:rPr>
                        <w:t>14 have been</w:t>
                      </w:r>
                      <w:r w:rsidR="00887D0F" w:rsidRPr="0049387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9387F" w:rsidRPr="0049387F">
                        <w:rPr>
                          <w:sz w:val="16"/>
                          <w:szCs w:val="16"/>
                        </w:rPr>
                        <w:t xml:space="preserve">completed </w:t>
                      </w:r>
                      <w:r w:rsidRPr="0049387F">
                        <w:rPr>
                          <w:sz w:val="16"/>
                          <w:szCs w:val="16"/>
                        </w:rPr>
                        <w:t>and</w:t>
                      </w:r>
                      <w:r w:rsidR="00691D90" w:rsidRPr="0049387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48E1">
                        <w:rPr>
                          <w:sz w:val="16"/>
                          <w:szCs w:val="16"/>
                        </w:rPr>
                        <w:t>9 are reported as behind plan and one completely deferred to 2019/20.</w:t>
                      </w:r>
                    </w:p>
                    <w:p w:rsidR="00930AC0" w:rsidRDefault="00930AC0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F60452" w:rsidRDefault="00BE0F38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Deliverability - </w:t>
                      </w:r>
                      <w:r w:rsidR="00EB6106">
                        <w:rPr>
                          <w:sz w:val="16"/>
                          <w:szCs w:val="16"/>
                        </w:rPr>
                        <w:t xml:space="preserve">complex Contract Drafting in respect of the RRC remains ongoing, as does the Mattress Review and the drafting of the Data Strategy.  The capability of </w:t>
                      </w:r>
                      <w:proofErr w:type="spellStart"/>
                      <w:r w:rsidR="00EB6106">
                        <w:rPr>
                          <w:sz w:val="16"/>
                          <w:szCs w:val="16"/>
                        </w:rPr>
                        <w:t>Cognos</w:t>
                      </w:r>
                      <w:proofErr w:type="spellEnd"/>
                      <w:r w:rsidR="00EB6106">
                        <w:rPr>
                          <w:sz w:val="16"/>
                          <w:szCs w:val="16"/>
                        </w:rPr>
                        <w:t xml:space="preserve"> has been delayed due to the need for an upgrade and the lengthy lead in times for this.</w:t>
                      </w: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Sustainability – Options for the continued Bidston Methane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company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and to generate income from Foul Lane have stalled somewhat due to third party positions and changes in law whilst work around the Behavioural Change Wheel and </w:t>
                      </w:r>
                      <w:r w:rsidR="00B32CF1">
                        <w:rPr>
                          <w:sz w:val="16"/>
                          <w:szCs w:val="16"/>
                        </w:rPr>
                        <w:t xml:space="preserve">Sustainability </w:t>
                      </w:r>
                      <w:r>
                        <w:rPr>
                          <w:sz w:val="16"/>
                          <w:szCs w:val="16"/>
                        </w:rPr>
                        <w:t>Return o</w:t>
                      </w:r>
                      <w:r w:rsidR="00B32CF1">
                        <w:rPr>
                          <w:sz w:val="16"/>
                          <w:szCs w:val="16"/>
                        </w:rPr>
                        <w:t>n Investment remain</w:t>
                      </w:r>
                      <w:r>
                        <w:rPr>
                          <w:sz w:val="16"/>
                          <w:szCs w:val="16"/>
                        </w:rPr>
                        <w:t xml:space="preserve"> ongoing.  The JRWMS refresh</w:t>
                      </w:r>
                      <w:r w:rsidR="00DA48E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and 20% reduction in </w:t>
                      </w:r>
                      <w:r w:rsidR="00F1740E">
                        <w:rPr>
                          <w:sz w:val="16"/>
                          <w:szCs w:val="16"/>
                        </w:rPr>
                        <w:t>emissions</w:t>
                      </w:r>
                      <w:r>
                        <w:rPr>
                          <w:sz w:val="16"/>
                          <w:szCs w:val="16"/>
                        </w:rPr>
                        <w:t xml:space="preserve"> from food and drink have been deferred to 2019/20.</w:t>
                      </w: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Accountability – The review of the Sustainability Framework has been deferred to May 2019.</w:t>
                      </w: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EB6106" w:rsidRDefault="00EB6106" w:rsidP="00290A2F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F60452" w:rsidRDefault="00F60452"/>
                  </w:txbxContent>
                </v:textbox>
              </v:shape>
            </w:pict>
          </mc:Fallback>
        </mc:AlternateContent>
      </w:r>
    </w:p>
    <w:p w:rsidR="00F1740E" w:rsidRDefault="00F1740E" w:rsidP="00276489">
      <w:pPr>
        <w:tabs>
          <w:tab w:val="left" w:pos="7463"/>
        </w:tabs>
      </w:pPr>
    </w:p>
    <w:p w:rsidR="00F1740E" w:rsidRDefault="00F1740E" w:rsidP="00276489">
      <w:pPr>
        <w:tabs>
          <w:tab w:val="left" w:pos="7463"/>
        </w:tabs>
      </w:pPr>
      <w:r w:rsidRPr="00F1740E">
        <w:rPr>
          <w:noProof/>
          <w:lang w:eastAsia="en-GB"/>
        </w:rPr>
        <w:lastRenderedPageBreak/>
        <w:drawing>
          <wp:inline distT="0" distB="0" distL="0" distR="0" wp14:anchorId="4BFBF437" wp14:editId="1BD4AE09">
            <wp:extent cx="8863330" cy="3220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0E" w:rsidRDefault="00F1740E" w:rsidP="00276489">
      <w:pPr>
        <w:tabs>
          <w:tab w:val="left" w:pos="7463"/>
        </w:tabs>
      </w:pPr>
    </w:p>
    <w:p w:rsidR="00F1740E" w:rsidRDefault="00F1740E" w:rsidP="00276489">
      <w:pPr>
        <w:tabs>
          <w:tab w:val="left" w:pos="7463"/>
        </w:tabs>
      </w:pPr>
      <w:r w:rsidRPr="00F1740E">
        <w:rPr>
          <w:noProof/>
          <w:lang w:eastAsia="en-GB"/>
        </w:rPr>
        <w:lastRenderedPageBreak/>
        <w:drawing>
          <wp:inline distT="0" distB="0" distL="0" distR="0" wp14:anchorId="04C06F65" wp14:editId="657E1828">
            <wp:extent cx="8863330" cy="336832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0E" w:rsidRDefault="00F1740E" w:rsidP="00276489">
      <w:pPr>
        <w:tabs>
          <w:tab w:val="left" w:pos="7463"/>
        </w:tabs>
      </w:pPr>
    </w:p>
    <w:p w:rsidR="00F1740E" w:rsidRDefault="00F1740E" w:rsidP="00276489">
      <w:pPr>
        <w:tabs>
          <w:tab w:val="left" w:pos="7463"/>
        </w:tabs>
      </w:pPr>
      <w:r w:rsidRPr="00F1740E">
        <w:rPr>
          <w:noProof/>
          <w:lang w:eastAsia="en-GB"/>
        </w:rPr>
        <w:lastRenderedPageBreak/>
        <w:drawing>
          <wp:inline distT="0" distB="0" distL="0" distR="0" wp14:anchorId="54248370" wp14:editId="17D33EB3">
            <wp:extent cx="8863330" cy="2834093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0E" w:rsidRDefault="00F1740E" w:rsidP="00276489">
      <w:pPr>
        <w:tabs>
          <w:tab w:val="left" w:pos="7463"/>
        </w:tabs>
      </w:pPr>
    </w:p>
    <w:p w:rsidR="00D678B2" w:rsidRPr="00276489" w:rsidRDefault="00863928" w:rsidP="00276489">
      <w:pPr>
        <w:tabs>
          <w:tab w:val="left" w:pos="7463"/>
        </w:tabs>
      </w:pPr>
      <w:r w:rsidRPr="00863928">
        <w:rPr>
          <w:noProof/>
          <w:lang w:eastAsia="en-GB"/>
        </w:rPr>
        <w:lastRenderedPageBreak/>
        <w:drawing>
          <wp:inline distT="0" distB="0" distL="0" distR="0" wp14:anchorId="27F4E103" wp14:editId="7868E86F">
            <wp:extent cx="8863330" cy="3098537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489">
        <w:tab/>
      </w:r>
    </w:p>
    <w:sectPr w:rsidR="00D678B2" w:rsidRPr="00276489" w:rsidSect="000C470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C5" w:rsidRDefault="006C46C5" w:rsidP="00DB0DA2">
      <w:pPr>
        <w:spacing w:after="0" w:line="240" w:lineRule="auto"/>
      </w:pPr>
      <w:r>
        <w:separator/>
      </w:r>
    </w:p>
  </w:endnote>
  <w:endnote w:type="continuationSeparator" w:id="0">
    <w:p w:rsidR="006C46C5" w:rsidRDefault="006C46C5" w:rsidP="00DB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C5" w:rsidRDefault="006C46C5" w:rsidP="00DB0DA2">
      <w:pPr>
        <w:spacing w:after="0" w:line="240" w:lineRule="auto"/>
      </w:pPr>
      <w:r>
        <w:separator/>
      </w:r>
    </w:p>
  </w:footnote>
  <w:footnote w:type="continuationSeparator" w:id="0">
    <w:p w:rsidR="006C46C5" w:rsidRDefault="006C46C5" w:rsidP="00DB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0E" w:rsidRPr="000C470E" w:rsidRDefault="000C470E" w:rsidP="00F1740E">
    <w:pPr>
      <w:pStyle w:val="Header"/>
      <w:jc w:val="right"/>
      <w:rPr>
        <w:rFonts w:ascii="Arial" w:hAnsi="Arial" w:cs="Arial"/>
        <w:b/>
        <w:sz w:val="52"/>
        <w:szCs w:val="52"/>
      </w:rPr>
    </w:pPr>
    <w:r w:rsidRPr="000C470E">
      <w:rPr>
        <w:rFonts w:ascii="Arial" w:hAnsi="Arial" w:cs="Arial"/>
        <w:b/>
        <w:sz w:val="52"/>
        <w:szCs w:val="52"/>
      </w:rPr>
      <w:t>12</w:t>
    </w:r>
  </w:p>
  <w:p w:rsidR="000C470E" w:rsidRPr="000C470E" w:rsidRDefault="000C470E" w:rsidP="00F1740E">
    <w:pPr>
      <w:pStyle w:val="Header"/>
      <w:jc w:val="right"/>
      <w:rPr>
        <w:rFonts w:ascii="Arial" w:hAnsi="Arial" w:cs="Arial"/>
        <w:b/>
        <w:sz w:val="24"/>
      </w:rPr>
    </w:pPr>
    <w:r w:rsidRPr="000C470E">
      <w:rPr>
        <w:rFonts w:ascii="Arial" w:hAnsi="Arial" w:cs="Arial"/>
        <w:b/>
        <w:sz w:val="24"/>
      </w:rPr>
      <w:t xml:space="preserve">Appendix 1 </w:t>
    </w:r>
  </w:p>
  <w:p w:rsidR="00F1740E" w:rsidRDefault="00F1740E" w:rsidP="000C470E">
    <w:pPr>
      <w:pStyle w:val="Header"/>
    </w:pPr>
    <w:r>
      <w:t>Service Delivery Plan Tracker 20</w:t>
    </w:r>
    <w:r w:rsidR="00DD1B20">
      <w:t>1</w:t>
    </w:r>
    <w:r>
      <w:t>8-19</w:t>
    </w:r>
  </w:p>
  <w:p w:rsidR="00F1740E" w:rsidRDefault="00F17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F6"/>
    <w:rsid w:val="0001265C"/>
    <w:rsid w:val="000259D9"/>
    <w:rsid w:val="00030CB7"/>
    <w:rsid w:val="00052AE6"/>
    <w:rsid w:val="000859B9"/>
    <w:rsid w:val="000964F5"/>
    <w:rsid w:val="000B5EBA"/>
    <w:rsid w:val="000C470E"/>
    <w:rsid w:val="000F3D6B"/>
    <w:rsid w:val="000F6797"/>
    <w:rsid w:val="00117AC1"/>
    <w:rsid w:val="00122B7B"/>
    <w:rsid w:val="00126E1C"/>
    <w:rsid w:val="00183ED4"/>
    <w:rsid w:val="001C6BD1"/>
    <w:rsid w:val="001F74BD"/>
    <w:rsid w:val="002534FA"/>
    <w:rsid w:val="002669BF"/>
    <w:rsid w:val="00276489"/>
    <w:rsid w:val="00290A2F"/>
    <w:rsid w:val="002A6F4C"/>
    <w:rsid w:val="002B2B31"/>
    <w:rsid w:val="002B5D2C"/>
    <w:rsid w:val="002C6B73"/>
    <w:rsid w:val="00321A77"/>
    <w:rsid w:val="0036130F"/>
    <w:rsid w:val="003772BD"/>
    <w:rsid w:val="00385782"/>
    <w:rsid w:val="003A335D"/>
    <w:rsid w:val="003B3A35"/>
    <w:rsid w:val="00414368"/>
    <w:rsid w:val="0041724C"/>
    <w:rsid w:val="0041792D"/>
    <w:rsid w:val="00433F94"/>
    <w:rsid w:val="0043736B"/>
    <w:rsid w:val="00483D6B"/>
    <w:rsid w:val="0049387F"/>
    <w:rsid w:val="004B0713"/>
    <w:rsid w:val="004C5ADD"/>
    <w:rsid w:val="004C612F"/>
    <w:rsid w:val="004E71DF"/>
    <w:rsid w:val="00522451"/>
    <w:rsid w:val="005324DF"/>
    <w:rsid w:val="00533BDD"/>
    <w:rsid w:val="005560B1"/>
    <w:rsid w:val="00562071"/>
    <w:rsid w:val="005672F6"/>
    <w:rsid w:val="00574EE4"/>
    <w:rsid w:val="00583209"/>
    <w:rsid w:val="00585ABB"/>
    <w:rsid w:val="00590AFD"/>
    <w:rsid w:val="0059612F"/>
    <w:rsid w:val="005C1334"/>
    <w:rsid w:val="005F689F"/>
    <w:rsid w:val="0060439F"/>
    <w:rsid w:val="00607B8C"/>
    <w:rsid w:val="00630440"/>
    <w:rsid w:val="00635F36"/>
    <w:rsid w:val="00661B5E"/>
    <w:rsid w:val="006711A6"/>
    <w:rsid w:val="00691D90"/>
    <w:rsid w:val="006976C2"/>
    <w:rsid w:val="006B1EBC"/>
    <w:rsid w:val="006B29B2"/>
    <w:rsid w:val="006C46C5"/>
    <w:rsid w:val="006C5054"/>
    <w:rsid w:val="006D70A3"/>
    <w:rsid w:val="006E359B"/>
    <w:rsid w:val="00706B58"/>
    <w:rsid w:val="0073136E"/>
    <w:rsid w:val="007547AB"/>
    <w:rsid w:val="007627F3"/>
    <w:rsid w:val="00820C6D"/>
    <w:rsid w:val="00827F3C"/>
    <w:rsid w:val="00846E38"/>
    <w:rsid w:val="00856E16"/>
    <w:rsid w:val="00863928"/>
    <w:rsid w:val="00887D0F"/>
    <w:rsid w:val="008A03F4"/>
    <w:rsid w:val="008F33F5"/>
    <w:rsid w:val="00906E64"/>
    <w:rsid w:val="00914E1E"/>
    <w:rsid w:val="00930AC0"/>
    <w:rsid w:val="00942712"/>
    <w:rsid w:val="00954226"/>
    <w:rsid w:val="00992FD8"/>
    <w:rsid w:val="009947C7"/>
    <w:rsid w:val="009A5695"/>
    <w:rsid w:val="009B4FC3"/>
    <w:rsid w:val="009C393B"/>
    <w:rsid w:val="009D00A9"/>
    <w:rsid w:val="009D6D0C"/>
    <w:rsid w:val="009E287E"/>
    <w:rsid w:val="009F658F"/>
    <w:rsid w:val="00A27F2F"/>
    <w:rsid w:val="00A30830"/>
    <w:rsid w:val="00A65347"/>
    <w:rsid w:val="00A6653D"/>
    <w:rsid w:val="00A8491C"/>
    <w:rsid w:val="00AD6333"/>
    <w:rsid w:val="00AE0F62"/>
    <w:rsid w:val="00AF0CFC"/>
    <w:rsid w:val="00AF12CB"/>
    <w:rsid w:val="00B02507"/>
    <w:rsid w:val="00B07AC5"/>
    <w:rsid w:val="00B32CF1"/>
    <w:rsid w:val="00B43D6E"/>
    <w:rsid w:val="00B64757"/>
    <w:rsid w:val="00B70AB4"/>
    <w:rsid w:val="00B73C88"/>
    <w:rsid w:val="00B779AA"/>
    <w:rsid w:val="00B825F2"/>
    <w:rsid w:val="00BE0F38"/>
    <w:rsid w:val="00BE5C89"/>
    <w:rsid w:val="00C17CF0"/>
    <w:rsid w:val="00C27E28"/>
    <w:rsid w:val="00C761E4"/>
    <w:rsid w:val="00C76750"/>
    <w:rsid w:val="00CA7255"/>
    <w:rsid w:val="00D167A5"/>
    <w:rsid w:val="00D678B2"/>
    <w:rsid w:val="00DA48E1"/>
    <w:rsid w:val="00DB0DA2"/>
    <w:rsid w:val="00DB5B30"/>
    <w:rsid w:val="00DB7064"/>
    <w:rsid w:val="00DD1B20"/>
    <w:rsid w:val="00DD5285"/>
    <w:rsid w:val="00E00777"/>
    <w:rsid w:val="00E04BB3"/>
    <w:rsid w:val="00E30635"/>
    <w:rsid w:val="00E67DE6"/>
    <w:rsid w:val="00EA5C3C"/>
    <w:rsid w:val="00EB6106"/>
    <w:rsid w:val="00ED1EB6"/>
    <w:rsid w:val="00EE7236"/>
    <w:rsid w:val="00EF58C5"/>
    <w:rsid w:val="00F00577"/>
    <w:rsid w:val="00F039BA"/>
    <w:rsid w:val="00F16694"/>
    <w:rsid w:val="00F1740E"/>
    <w:rsid w:val="00F23438"/>
    <w:rsid w:val="00F40C7E"/>
    <w:rsid w:val="00F60452"/>
    <w:rsid w:val="00FB68AB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D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2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A2"/>
  </w:style>
  <w:style w:type="paragraph" w:styleId="Footer">
    <w:name w:val="footer"/>
    <w:basedOn w:val="Normal"/>
    <w:link w:val="FooterChar"/>
    <w:uiPriority w:val="99"/>
    <w:unhideWhenUsed/>
    <w:rsid w:val="00D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D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2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A2"/>
  </w:style>
  <w:style w:type="paragraph" w:styleId="Footer">
    <w:name w:val="footer"/>
    <w:basedOn w:val="Normal"/>
    <w:link w:val="FooterChar"/>
    <w:uiPriority w:val="99"/>
    <w:unhideWhenUsed/>
    <w:rsid w:val="00D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ifsfiler\MRWA\PROJECT%20FILES\CORPORATE%20GOVERNANCE\CORPORATE%20PLANNING\2018-19\Qtr%204\2018-19%20Tracker%20-%20Summary%20-%20Qtr%20%203%20-%20Needs%20updat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'2018-19 Qtr 3'!$B$3</c:f>
              <c:strCache>
                <c:ptCount val="1"/>
                <c:pt idx="0">
                  <c:v>Deliverability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'2018-19 Qtr 3'!$C$3:$F$3</c:f>
              <c:numCache>
                <c:formatCode>0</c:formatCode>
                <c:ptCount val="4"/>
                <c:pt idx="0" formatCode="General">
                  <c:v>32</c:v>
                </c:pt>
                <c:pt idx="1">
                  <c:v>47</c:v>
                </c:pt>
                <c:pt idx="2">
                  <c:v>69</c:v>
                </c:pt>
                <c:pt idx="3">
                  <c:v>86</c:v>
                </c:pt>
              </c:numCache>
            </c:numRef>
          </c:val>
        </c:ser>
        <c:ser>
          <c:idx val="1"/>
          <c:order val="1"/>
          <c:tx>
            <c:strRef>
              <c:f>'2018-19 Qtr 3'!$B$4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val>
            <c:numRef>
              <c:f>'2018-19 Qtr 3'!$C$4:$F$4</c:f>
              <c:numCache>
                <c:formatCode>0</c:formatCode>
                <c:ptCount val="4"/>
                <c:pt idx="0" formatCode="General">
                  <c:v>15</c:v>
                </c:pt>
                <c:pt idx="1">
                  <c:v>38</c:v>
                </c:pt>
                <c:pt idx="2">
                  <c:v>67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'2018-19 Qtr 3'!$B$5</c:f>
              <c:strCache>
                <c:ptCount val="1"/>
                <c:pt idx="0">
                  <c:v>Partnership &amp; Governance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val>
            <c:numRef>
              <c:f>'2018-19 Qtr 3'!$C$5:$F$5</c:f>
              <c:numCache>
                <c:formatCode>General</c:formatCode>
                <c:ptCount val="4"/>
                <c:pt idx="0">
                  <c:v>11</c:v>
                </c:pt>
                <c:pt idx="1">
                  <c:v>41</c:v>
                </c:pt>
                <c:pt idx="2">
                  <c:v>84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'2018-19 Qtr 3'!$B$6</c:f>
              <c:strCache>
                <c:ptCount val="1"/>
                <c:pt idx="0">
                  <c:v>Accountability</c:v>
                </c:pt>
              </c:strCache>
            </c:strRef>
          </c:tx>
          <c:invertIfNegative val="0"/>
          <c:val>
            <c:numRef>
              <c:f>'2018-19 Qtr 3'!$C$6:$F$6</c:f>
              <c:numCache>
                <c:formatCode>0</c:formatCode>
                <c:ptCount val="4"/>
                <c:pt idx="0" formatCode="General">
                  <c:v>25</c:v>
                </c:pt>
                <c:pt idx="1">
                  <c:v>55</c:v>
                </c:pt>
                <c:pt idx="2">
                  <c:v>75</c:v>
                </c:pt>
                <c:pt idx="3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953024"/>
        <c:axId val="27954560"/>
        <c:axId val="0"/>
      </c:bar3DChart>
      <c:catAx>
        <c:axId val="2795302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27954560"/>
        <c:crosses val="autoZero"/>
        <c:auto val="1"/>
        <c:lblAlgn val="ctr"/>
        <c:lblOffset val="100"/>
        <c:noMultiLvlLbl val="1"/>
      </c:catAx>
      <c:valAx>
        <c:axId val="2795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53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A648-0553-43F3-893D-EE01F93A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hodge_n</dc:creator>
  <cp:lastModifiedBy>Looker, Abigail</cp:lastModifiedBy>
  <cp:revision>2</cp:revision>
  <cp:lastPrinted>2019-01-22T11:26:00Z</cp:lastPrinted>
  <dcterms:created xsi:type="dcterms:W3CDTF">2019-04-10T15:54:00Z</dcterms:created>
  <dcterms:modified xsi:type="dcterms:W3CDTF">2019-04-10T15:54:00Z</dcterms:modified>
</cp:coreProperties>
</file>