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28F" w:rsidRPr="00DD34F4" w:rsidRDefault="00E82ACF" w:rsidP="0054328F">
      <w:pPr>
        <w:rPr>
          <w:rFonts w:cs="Arial"/>
          <w:b/>
          <w:color w:val="365F91" w:themeColor="accent1" w:themeShade="BF"/>
        </w:rPr>
      </w:pPr>
      <w:bookmarkStart w:id="0" w:name="_Toc417057812"/>
      <w:r>
        <w:rPr>
          <w:noProof/>
          <w:lang w:val="en-US" w:eastAsia="en-US"/>
        </w:rPr>
        <w:drawing>
          <wp:anchor distT="0" distB="0" distL="114300" distR="114300" simplePos="0" relativeHeight="251662336" behindDoc="0" locked="0" layoutInCell="1" allowOverlap="1" wp14:anchorId="52B29180" wp14:editId="2784B1D2">
            <wp:simplePos x="0" y="0"/>
            <wp:positionH relativeFrom="margin">
              <wp:align>left</wp:align>
            </wp:positionH>
            <wp:positionV relativeFrom="paragraph">
              <wp:posOffset>0</wp:posOffset>
            </wp:positionV>
            <wp:extent cx="4966970" cy="100139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P logo_partnership horizontal.jpg"/>
                    <pic:cNvPicPr/>
                  </pic:nvPicPr>
                  <pic:blipFill rotWithShape="1">
                    <a:blip r:embed="rId9" cstate="print">
                      <a:alphaModFix/>
                      <a:extLst>
                        <a:ext uri="{28A0092B-C50C-407E-A947-70E740481C1C}">
                          <a14:useLocalDpi xmlns:a14="http://schemas.microsoft.com/office/drawing/2010/main" val="0"/>
                        </a:ext>
                      </a:extLst>
                    </a:blip>
                    <a:srcRect l="11294" t="39156" r="10389" b="38494"/>
                    <a:stretch/>
                  </pic:blipFill>
                  <pic:spPr bwMode="auto">
                    <a:xfrm>
                      <a:off x="0" y="0"/>
                      <a:ext cx="4983113" cy="10050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4328F" w:rsidRPr="00DD34F4" w:rsidRDefault="0054328F" w:rsidP="0054328F">
      <w:pPr>
        <w:rPr>
          <w:rFonts w:cs="Arial"/>
          <w:b/>
          <w:color w:val="365F91" w:themeColor="accent1" w:themeShade="BF"/>
        </w:rPr>
      </w:pPr>
    </w:p>
    <w:p w:rsidR="0054328F" w:rsidRPr="00DD34F4" w:rsidRDefault="0054328F" w:rsidP="00410780">
      <w:pPr>
        <w:rPr>
          <w:rFonts w:cs="Arial"/>
        </w:rPr>
      </w:pPr>
    </w:p>
    <w:p w:rsidR="00410780" w:rsidRPr="00DD34F4" w:rsidRDefault="00410780" w:rsidP="00410780">
      <w:pPr>
        <w:rPr>
          <w:rFonts w:cs="Arial"/>
        </w:rPr>
      </w:pPr>
    </w:p>
    <w:p w:rsidR="00410780" w:rsidRPr="00DD34F4" w:rsidRDefault="00410780" w:rsidP="00410780">
      <w:pPr>
        <w:rPr>
          <w:rFonts w:cs="Arial"/>
        </w:rPr>
      </w:pPr>
    </w:p>
    <w:p w:rsidR="00410780" w:rsidRPr="00DD34F4" w:rsidRDefault="00410780" w:rsidP="00410780">
      <w:pPr>
        <w:rPr>
          <w:rFonts w:cs="Arial"/>
        </w:rPr>
      </w:pPr>
    </w:p>
    <w:p w:rsidR="00410780" w:rsidRPr="00DD34F4" w:rsidRDefault="00410780" w:rsidP="00410780">
      <w:pPr>
        <w:rPr>
          <w:rFonts w:cs="Arial"/>
          <w:color w:val="007377"/>
        </w:rPr>
      </w:pPr>
    </w:p>
    <w:p w:rsidR="00410780" w:rsidRPr="00DD34F4" w:rsidRDefault="00410780" w:rsidP="00410780">
      <w:pPr>
        <w:rPr>
          <w:rFonts w:cs="Arial"/>
          <w:color w:val="007377"/>
        </w:rPr>
      </w:pPr>
    </w:p>
    <w:p w:rsidR="00410780" w:rsidRPr="00DD34F4" w:rsidRDefault="00410780" w:rsidP="00410780">
      <w:pPr>
        <w:rPr>
          <w:rFonts w:cs="Arial"/>
          <w:color w:val="007377"/>
        </w:rPr>
      </w:pPr>
    </w:p>
    <w:p w:rsidR="0054328F" w:rsidRPr="00DD34F4" w:rsidRDefault="007055BE" w:rsidP="0054328F">
      <w:pPr>
        <w:rPr>
          <w:rFonts w:cs="Arial"/>
        </w:rPr>
      </w:pPr>
      <w:r w:rsidRPr="007055BE">
        <w:rPr>
          <w:rFonts w:eastAsiaTheme="majorEastAsia" w:cs="Arial"/>
          <w:color w:val="007377"/>
          <w:spacing w:val="-10"/>
          <w:kern w:val="28"/>
          <w:sz w:val="56"/>
          <w:szCs w:val="56"/>
        </w:rPr>
        <w:t>Review of RRC and WMR</w:t>
      </w:r>
      <w:r w:rsidR="004F3EFC">
        <w:rPr>
          <w:rFonts w:eastAsiaTheme="majorEastAsia" w:cs="Arial"/>
          <w:color w:val="007377"/>
          <w:spacing w:val="-10"/>
          <w:kern w:val="28"/>
          <w:sz w:val="56"/>
          <w:szCs w:val="56"/>
        </w:rPr>
        <w:t>C contracts managed by MRWA</w:t>
      </w:r>
    </w:p>
    <w:p w:rsidR="0054328F" w:rsidRPr="00DD34F4" w:rsidRDefault="0054328F" w:rsidP="0054328F">
      <w:pPr>
        <w:rPr>
          <w:rFonts w:cs="Arial"/>
        </w:rPr>
      </w:pPr>
    </w:p>
    <w:p w:rsidR="0054328F" w:rsidRPr="00DD34F4" w:rsidRDefault="0054328F" w:rsidP="0054328F">
      <w:pPr>
        <w:rPr>
          <w:rFonts w:cs="Arial"/>
        </w:rPr>
      </w:pPr>
    </w:p>
    <w:p w:rsidR="0054328F" w:rsidRPr="00DD34F4" w:rsidRDefault="0054328F" w:rsidP="0054328F">
      <w:pPr>
        <w:rPr>
          <w:rFonts w:cs="Arial"/>
        </w:rPr>
      </w:pPr>
    </w:p>
    <w:p w:rsidR="0054328F" w:rsidRPr="00DD34F4" w:rsidRDefault="0054328F" w:rsidP="00101557">
      <w:pPr>
        <w:pStyle w:val="Subtitle"/>
        <w:rPr>
          <w:sz w:val="22"/>
        </w:rPr>
      </w:pPr>
      <w:r w:rsidRPr="00DD34F4">
        <w:rPr>
          <w:sz w:val="22"/>
        </w:rPr>
        <w:t>Version No:</w:t>
      </w:r>
      <w:r w:rsidRPr="00DD34F4">
        <w:rPr>
          <w:sz w:val="22"/>
        </w:rPr>
        <w:tab/>
      </w:r>
      <w:r w:rsidR="001F0B12">
        <w:rPr>
          <w:sz w:val="22"/>
        </w:rPr>
        <w:t>Final</w:t>
      </w:r>
      <w:r w:rsidRPr="00DD34F4">
        <w:rPr>
          <w:sz w:val="22"/>
        </w:rPr>
        <w:t xml:space="preserve"> </w:t>
      </w:r>
    </w:p>
    <w:p w:rsidR="00B83F6E" w:rsidRDefault="00101557">
      <w:pPr>
        <w:spacing w:after="0"/>
        <w:rPr>
          <w:rFonts w:cs="Arial"/>
          <w:sz w:val="22"/>
        </w:rPr>
      </w:pPr>
      <w:r w:rsidRPr="00DD34F4">
        <w:rPr>
          <w:noProof/>
          <w:sz w:val="22"/>
          <w:lang w:val="en-US" w:eastAsia="en-US"/>
        </w:rPr>
        <w:drawing>
          <wp:anchor distT="0" distB="0" distL="114300" distR="114300" simplePos="0" relativeHeight="251658240" behindDoc="1" locked="0" layoutInCell="1" allowOverlap="1" wp14:anchorId="28A6825B" wp14:editId="16E3B853">
            <wp:simplePos x="0" y="0"/>
            <wp:positionH relativeFrom="column">
              <wp:posOffset>-876300</wp:posOffset>
            </wp:positionH>
            <wp:positionV relativeFrom="page">
              <wp:posOffset>8140700</wp:posOffset>
            </wp:positionV>
            <wp:extent cx="7466400" cy="250200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 page 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466400" cy="2502000"/>
                    </a:xfrm>
                    <a:prstGeom prst="rect">
                      <a:avLst/>
                    </a:prstGeom>
                  </pic:spPr>
                </pic:pic>
              </a:graphicData>
            </a:graphic>
            <wp14:sizeRelH relativeFrom="page">
              <wp14:pctWidth>0</wp14:pctWidth>
            </wp14:sizeRelH>
            <wp14:sizeRelV relativeFrom="page">
              <wp14:pctHeight>0</wp14:pctHeight>
            </wp14:sizeRelV>
          </wp:anchor>
        </w:drawing>
      </w:r>
      <w:r w:rsidR="0054328F" w:rsidRPr="00DD34F4">
        <w:rPr>
          <w:sz w:val="22"/>
        </w:rPr>
        <w:t xml:space="preserve">Issue Date: </w:t>
      </w:r>
      <w:r w:rsidR="0054328F" w:rsidRPr="00DD34F4">
        <w:rPr>
          <w:sz w:val="22"/>
        </w:rPr>
        <w:tab/>
      </w:r>
      <w:r w:rsidR="004F3EFC">
        <w:rPr>
          <w:sz w:val="22"/>
        </w:rPr>
        <w:t>December</w:t>
      </w:r>
      <w:r w:rsidR="0054328F" w:rsidRPr="00DD34F4">
        <w:rPr>
          <w:sz w:val="22"/>
        </w:rPr>
        <w:br w:type="page"/>
      </w:r>
    </w:p>
    <w:sdt>
      <w:sdtPr>
        <w:rPr>
          <w:rFonts w:ascii="Arial" w:eastAsia="Times New Roman" w:hAnsi="Arial" w:cs="Times New Roman"/>
          <w:b w:val="0"/>
          <w:bCs w:val="0"/>
          <w:color w:val="auto"/>
          <w:sz w:val="20"/>
          <w:szCs w:val="22"/>
          <w:lang w:val="en-GB" w:eastAsia="en-GB"/>
        </w:rPr>
        <w:id w:val="338436273"/>
        <w:docPartObj>
          <w:docPartGallery w:val="Table of Contents"/>
          <w:docPartUnique/>
        </w:docPartObj>
      </w:sdtPr>
      <w:sdtEndPr>
        <w:rPr>
          <w:noProof/>
        </w:rPr>
      </w:sdtEndPr>
      <w:sdtContent>
        <w:p w:rsidR="00B83F6E" w:rsidRDefault="00B83F6E">
          <w:pPr>
            <w:pStyle w:val="TOCHeading"/>
          </w:pPr>
          <w:r>
            <w:t>Table of Contents</w:t>
          </w:r>
        </w:p>
        <w:p w:rsidR="00CC277E" w:rsidRDefault="00B83F6E">
          <w:pPr>
            <w:pStyle w:val="TOC1"/>
            <w:tabs>
              <w:tab w:val="left" w:pos="382"/>
              <w:tab w:val="right" w:leader="dot" w:pos="9016"/>
            </w:tabs>
            <w:rPr>
              <w:rFonts w:eastAsiaTheme="minorEastAsia" w:cstheme="minorBidi"/>
              <w:b w:val="0"/>
              <w:noProof/>
              <w:lang w:eastAsia="ja-JP"/>
            </w:rPr>
          </w:pPr>
          <w:r>
            <w:rPr>
              <w:b w:val="0"/>
            </w:rPr>
            <w:fldChar w:fldCharType="begin"/>
          </w:r>
          <w:r>
            <w:instrText xml:space="preserve"> TOC \o "1-3" \h \z \u </w:instrText>
          </w:r>
          <w:r>
            <w:rPr>
              <w:b w:val="0"/>
            </w:rPr>
            <w:fldChar w:fldCharType="separate"/>
          </w:r>
          <w:r w:rsidR="00CC277E" w:rsidRPr="005B6D11">
            <w:rPr>
              <w:noProof/>
              <w14:scene3d>
                <w14:camera w14:prst="orthographicFront"/>
                <w14:lightRig w14:rig="threePt" w14:dir="t">
                  <w14:rot w14:lat="0" w14:lon="0" w14:rev="0"/>
                </w14:lightRig>
              </w14:scene3d>
            </w:rPr>
            <w:t>1</w:t>
          </w:r>
          <w:r w:rsidR="00CC277E">
            <w:rPr>
              <w:rFonts w:eastAsiaTheme="minorEastAsia" w:cstheme="minorBidi"/>
              <w:b w:val="0"/>
              <w:noProof/>
              <w:lang w:eastAsia="ja-JP"/>
            </w:rPr>
            <w:tab/>
          </w:r>
          <w:r w:rsidR="00CC277E">
            <w:rPr>
              <w:noProof/>
            </w:rPr>
            <w:t>MRWA contract review</w:t>
          </w:r>
          <w:r w:rsidR="00CC277E">
            <w:rPr>
              <w:noProof/>
            </w:rPr>
            <w:tab/>
          </w:r>
          <w:r w:rsidR="00CC277E">
            <w:rPr>
              <w:noProof/>
            </w:rPr>
            <w:fldChar w:fldCharType="begin"/>
          </w:r>
          <w:r w:rsidR="00CC277E">
            <w:rPr>
              <w:noProof/>
            </w:rPr>
            <w:instrText xml:space="preserve"> PAGEREF _Toc345073959 \h </w:instrText>
          </w:r>
          <w:r w:rsidR="00CC277E">
            <w:rPr>
              <w:noProof/>
            </w:rPr>
          </w:r>
          <w:r w:rsidR="00CC277E">
            <w:rPr>
              <w:noProof/>
            </w:rPr>
            <w:fldChar w:fldCharType="separate"/>
          </w:r>
          <w:r w:rsidR="001F0B12">
            <w:rPr>
              <w:noProof/>
            </w:rPr>
            <w:t>3</w:t>
          </w:r>
          <w:r w:rsidR="00CC277E">
            <w:rPr>
              <w:noProof/>
            </w:rPr>
            <w:fldChar w:fldCharType="end"/>
          </w:r>
        </w:p>
        <w:p w:rsidR="00CC277E" w:rsidRDefault="00CC277E">
          <w:pPr>
            <w:pStyle w:val="TOC2"/>
            <w:tabs>
              <w:tab w:val="left" w:pos="752"/>
              <w:tab w:val="right" w:leader="dot" w:pos="9016"/>
            </w:tabs>
            <w:rPr>
              <w:rFonts w:eastAsiaTheme="minorEastAsia" w:cstheme="minorBidi"/>
              <w:b w:val="0"/>
              <w:noProof/>
              <w:sz w:val="24"/>
              <w:szCs w:val="24"/>
              <w:lang w:eastAsia="ja-JP"/>
            </w:rPr>
          </w:pPr>
          <w:r>
            <w:rPr>
              <w:noProof/>
            </w:rPr>
            <w:t>1.1</w:t>
          </w:r>
          <w:r>
            <w:rPr>
              <w:rFonts w:eastAsiaTheme="minorEastAsia" w:cstheme="minorBidi"/>
              <w:b w:val="0"/>
              <w:noProof/>
              <w:sz w:val="24"/>
              <w:szCs w:val="24"/>
              <w:lang w:eastAsia="ja-JP"/>
            </w:rPr>
            <w:tab/>
          </w:r>
          <w:r>
            <w:rPr>
              <w:noProof/>
            </w:rPr>
            <w:t>Introduction</w:t>
          </w:r>
          <w:r>
            <w:rPr>
              <w:noProof/>
            </w:rPr>
            <w:tab/>
          </w:r>
          <w:r>
            <w:rPr>
              <w:noProof/>
            </w:rPr>
            <w:fldChar w:fldCharType="begin"/>
          </w:r>
          <w:r>
            <w:rPr>
              <w:noProof/>
            </w:rPr>
            <w:instrText xml:space="preserve"> PAGEREF _Toc345073960 \h </w:instrText>
          </w:r>
          <w:r>
            <w:rPr>
              <w:noProof/>
            </w:rPr>
          </w:r>
          <w:r>
            <w:rPr>
              <w:noProof/>
            </w:rPr>
            <w:fldChar w:fldCharType="separate"/>
          </w:r>
          <w:r w:rsidR="001F0B12">
            <w:rPr>
              <w:noProof/>
            </w:rPr>
            <w:t>3</w:t>
          </w:r>
          <w:r>
            <w:rPr>
              <w:noProof/>
            </w:rPr>
            <w:fldChar w:fldCharType="end"/>
          </w:r>
        </w:p>
        <w:p w:rsidR="00CC277E" w:rsidRDefault="00CC277E">
          <w:pPr>
            <w:pStyle w:val="TOC1"/>
            <w:tabs>
              <w:tab w:val="left" w:pos="382"/>
              <w:tab w:val="right" w:leader="dot" w:pos="9016"/>
            </w:tabs>
            <w:rPr>
              <w:rFonts w:eastAsiaTheme="minorEastAsia" w:cstheme="minorBidi"/>
              <w:b w:val="0"/>
              <w:noProof/>
              <w:lang w:eastAsia="ja-JP"/>
            </w:rPr>
          </w:pPr>
          <w:r w:rsidRPr="005B6D11">
            <w:rPr>
              <w:noProof/>
              <w14:scene3d>
                <w14:camera w14:prst="orthographicFront"/>
                <w14:lightRig w14:rig="threePt" w14:dir="t">
                  <w14:rot w14:lat="0" w14:lon="0" w14:rev="0"/>
                </w14:lightRig>
              </w14:scene3d>
            </w:rPr>
            <w:t>2</w:t>
          </w:r>
          <w:r>
            <w:rPr>
              <w:rFonts w:eastAsiaTheme="minorEastAsia" w:cstheme="minorBidi"/>
              <w:b w:val="0"/>
              <w:noProof/>
              <w:lang w:eastAsia="ja-JP"/>
            </w:rPr>
            <w:tab/>
          </w:r>
          <w:r>
            <w:rPr>
              <w:noProof/>
            </w:rPr>
            <w:t>Waste management and recycling contract</w:t>
          </w:r>
          <w:r>
            <w:rPr>
              <w:noProof/>
            </w:rPr>
            <w:tab/>
          </w:r>
          <w:r>
            <w:rPr>
              <w:noProof/>
            </w:rPr>
            <w:fldChar w:fldCharType="begin"/>
          </w:r>
          <w:r>
            <w:rPr>
              <w:noProof/>
            </w:rPr>
            <w:instrText xml:space="preserve"> PAGEREF _Toc345073961 \h </w:instrText>
          </w:r>
          <w:r>
            <w:rPr>
              <w:noProof/>
            </w:rPr>
          </w:r>
          <w:r>
            <w:rPr>
              <w:noProof/>
            </w:rPr>
            <w:fldChar w:fldCharType="separate"/>
          </w:r>
          <w:r w:rsidR="001F0B12">
            <w:rPr>
              <w:noProof/>
            </w:rPr>
            <w:t>4</w:t>
          </w:r>
          <w:r>
            <w:rPr>
              <w:noProof/>
            </w:rPr>
            <w:fldChar w:fldCharType="end"/>
          </w:r>
        </w:p>
        <w:p w:rsidR="00CC277E" w:rsidRDefault="00CC277E">
          <w:pPr>
            <w:pStyle w:val="TOC2"/>
            <w:tabs>
              <w:tab w:val="left" w:pos="752"/>
              <w:tab w:val="right" w:leader="dot" w:pos="9016"/>
            </w:tabs>
            <w:rPr>
              <w:rFonts w:eastAsiaTheme="minorEastAsia" w:cstheme="minorBidi"/>
              <w:b w:val="0"/>
              <w:noProof/>
              <w:sz w:val="24"/>
              <w:szCs w:val="24"/>
              <w:lang w:eastAsia="ja-JP"/>
            </w:rPr>
          </w:pPr>
          <w:r>
            <w:rPr>
              <w:noProof/>
            </w:rPr>
            <w:t>2.1</w:t>
          </w:r>
          <w:r>
            <w:rPr>
              <w:rFonts w:eastAsiaTheme="minorEastAsia" w:cstheme="minorBidi"/>
              <w:b w:val="0"/>
              <w:noProof/>
              <w:sz w:val="24"/>
              <w:szCs w:val="24"/>
              <w:lang w:eastAsia="ja-JP"/>
            </w:rPr>
            <w:tab/>
          </w:r>
          <w:r>
            <w:rPr>
              <w:noProof/>
            </w:rPr>
            <w:t>Examination of key saving target topics</w:t>
          </w:r>
          <w:r>
            <w:rPr>
              <w:noProof/>
            </w:rPr>
            <w:tab/>
          </w:r>
          <w:r>
            <w:rPr>
              <w:noProof/>
            </w:rPr>
            <w:fldChar w:fldCharType="begin"/>
          </w:r>
          <w:r>
            <w:rPr>
              <w:noProof/>
            </w:rPr>
            <w:instrText xml:space="preserve"> PAGEREF _Toc345073962 \h </w:instrText>
          </w:r>
          <w:r>
            <w:rPr>
              <w:noProof/>
            </w:rPr>
          </w:r>
          <w:r>
            <w:rPr>
              <w:noProof/>
            </w:rPr>
            <w:fldChar w:fldCharType="separate"/>
          </w:r>
          <w:r w:rsidR="001F0B12">
            <w:rPr>
              <w:noProof/>
            </w:rPr>
            <w:t>4</w:t>
          </w:r>
          <w:r>
            <w:rPr>
              <w:noProof/>
            </w:rPr>
            <w:fldChar w:fldCharType="end"/>
          </w:r>
        </w:p>
        <w:p w:rsidR="00CC277E" w:rsidRDefault="00CC277E">
          <w:pPr>
            <w:pStyle w:val="TOC3"/>
            <w:tabs>
              <w:tab w:val="left" w:pos="1096"/>
              <w:tab w:val="right" w:leader="dot" w:pos="9016"/>
            </w:tabs>
            <w:rPr>
              <w:rFonts w:eastAsiaTheme="minorEastAsia" w:cstheme="minorBidi"/>
              <w:noProof/>
              <w:sz w:val="24"/>
              <w:szCs w:val="24"/>
              <w:lang w:eastAsia="ja-JP"/>
            </w:rPr>
          </w:pPr>
          <w:r>
            <w:rPr>
              <w:noProof/>
            </w:rPr>
            <w:t>1.1.1</w:t>
          </w:r>
          <w:r>
            <w:rPr>
              <w:rFonts w:eastAsiaTheme="minorEastAsia" w:cstheme="minorBidi"/>
              <w:noProof/>
              <w:sz w:val="24"/>
              <w:szCs w:val="24"/>
              <w:lang w:eastAsia="ja-JP"/>
            </w:rPr>
            <w:tab/>
          </w:r>
          <w:r>
            <w:rPr>
              <w:noProof/>
            </w:rPr>
            <w:t>Change in law reserve</w:t>
          </w:r>
          <w:r>
            <w:rPr>
              <w:noProof/>
            </w:rPr>
            <w:tab/>
          </w:r>
          <w:r>
            <w:rPr>
              <w:noProof/>
            </w:rPr>
            <w:fldChar w:fldCharType="begin"/>
          </w:r>
          <w:r>
            <w:rPr>
              <w:noProof/>
            </w:rPr>
            <w:instrText xml:space="preserve"> PAGEREF _Toc345073963 \h </w:instrText>
          </w:r>
          <w:r>
            <w:rPr>
              <w:noProof/>
            </w:rPr>
          </w:r>
          <w:r>
            <w:rPr>
              <w:noProof/>
            </w:rPr>
            <w:fldChar w:fldCharType="separate"/>
          </w:r>
          <w:r w:rsidR="001F0B12">
            <w:rPr>
              <w:noProof/>
            </w:rPr>
            <w:t>4</w:t>
          </w:r>
          <w:r>
            <w:rPr>
              <w:noProof/>
            </w:rPr>
            <w:fldChar w:fldCharType="end"/>
          </w:r>
        </w:p>
        <w:p w:rsidR="00CC277E" w:rsidRDefault="00CC277E">
          <w:pPr>
            <w:pStyle w:val="TOC3"/>
            <w:tabs>
              <w:tab w:val="left" w:pos="1096"/>
              <w:tab w:val="right" w:leader="dot" w:pos="9016"/>
            </w:tabs>
            <w:rPr>
              <w:rFonts w:eastAsiaTheme="minorEastAsia" w:cstheme="minorBidi"/>
              <w:noProof/>
              <w:sz w:val="24"/>
              <w:szCs w:val="24"/>
              <w:lang w:eastAsia="ja-JP"/>
            </w:rPr>
          </w:pPr>
          <w:r>
            <w:rPr>
              <w:noProof/>
            </w:rPr>
            <w:t>1.1.2</w:t>
          </w:r>
          <w:r>
            <w:rPr>
              <w:rFonts w:eastAsiaTheme="minorEastAsia" w:cstheme="minorBidi"/>
              <w:noProof/>
              <w:sz w:val="24"/>
              <w:szCs w:val="24"/>
              <w:lang w:eastAsia="ja-JP"/>
            </w:rPr>
            <w:tab/>
          </w:r>
          <w:r>
            <w:rPr>
              <w:noProof/>
            </w:rPr>
            <w:t>Life cycle profile</w:t>
          </w:r>
          <w:r>
            <w:rPr>
              <w:noProof/>
            </w:rPr>
            <w:tab/>
          </w:r>
          <w:r>
            <w:rPr>
              <w:noProof/>
            </w:rPr>
            <w:fldChar w:fldCharType="begin"/>
          </w:r>
          <w:r>
            <w:rPr>
              <w:noProof/>
            </w:rPr>
            <w:instrText xml:space="preserve"> PAGEREF _Toc345073964 \h </w:instrText>
          </w:r>
          <w:r>
            <w:rPr>
              <w:noProof/>
            </w:rPr>
          </w:r>
          <w:r>
            <w:rPr>
              <w:noProof/>
            </w:rPr>
            <w:fldChar w:fldCharType="separate"/>
          </w:r>
          <w:r w:rsidR="001F0B12">
            <w:rPr>
              <w:noProof/>
            </w:rPr>
            <w:t>4</w:t>
          </w:r>
          <w:r>
            <w:rPr>
              <w:noProof/>
            </w:rPr>
            <w:fldChar w:fldCharType="end"/>
          </w:r>
        </w:p>
        <w:p w:rsidR="00CC277E" w:rsidRDefault="00CC277E">
          <w:pPr>
            <w:pStyle w:val="TOC3"/>
            <w:tabs>
              <w:tab w:val="left" w:pos="1096"/>
              <w:tab w:val="right" w:leader="dot" w:pos="9016"/>
            </w:tabs>
            <w:rPr>
              <w:rFonts w:eastAsiaTheme="minorEastAsia" w:cstheme="minorBidi"/>
              <w:noProof/>
              <w:sz w:val="24"/>
              <w:szCs w:val="24"/>
              <w:lang w:eastAsia="ja-JP"/>
            </w:rPr>
          </w:pPr>
          <w:r>
            <w:rPr>
              <w:noProof/>
            </w:rPr>
            <w:t>1.1.3</w:t>
          </w:r>
          <w:r>
            <w:rPr>
              <w:rFonts w:eastAsiaTheme="minorEastAsia" w:cstheme="minorBidi"/>
              <w:noProof/>
              <w:sz w:val="24"/>
              <w:szCs w:val="24"/>
              <w:lang w:eastAsia="ja-JP"/>
            </w:rPr>
            <w:tab/>
          </w:r>
          <w:r>
            <w:rPr>
              <w:noProof/>
            </w:rPr>
            <w:t>Refinancing/capital injection</w:t>
          </w:r>
          <w:r>
            <w:rPr>
              <w:noProof/>
            </w:rPr>
            <w:tab/>
          </w:r>
          <w:r>
            <w:rPr>
              <w:noProof/>
            </w:rPr>
            <w:fldChar w:fldCharType="begin"/>
          </w:r>
          <w:r>
            <w:rPr>
              <w:noProof/>
            </w:rPr>
            <w:instrText xml:space="preserve"> PAGEREF _Toc345073965 \h </w:instrText>
          </w:r>
          <w:r>
            <w:rPr>
              <w:noProof/>
            </w:rPr>
          </w:r>
          <w:r>
            <w:rPr>
              <w:noProof/>
            </w:rPr>
            <w:fldChar w:fldCharType="separate"/>
          </w:r>
          <w:r w:rsidR="001F0B12">
            <w:rPr>
              <w:noProof/>
            </w:rPr>
            <w:t>4</w:t>
          </w:r>
          <w:r>
            <w:rPr>
              <w:noProof/>
            </w:rPr>
            <w:fldChar w:fldCharType="end"/>
          </w:r>
        </w:p>
        <w:p w:rsidR="00CC277E" w:rsidRDefault="00CC277E">
          <w:pPr>
            <w:pStyle w:val="TOC3"/>
            <w:tabs>
              <w:tab w:val="left" w:pos="1096"/>
              <w:tab w:val="right" w:leader="dot" w:pos="9016"/>
            </w:tabs>
            <w:rPr>
              <w:rFonts w:eastAsiaTheme="minorEastAsia" w:cstheme="minorBidi"/>
              <w:noProof/>
              <w:sz w:val="24"/>
              <w:szCs w:val="24"/>
              <w:lang w:eastAsia="ja-JP"/>
            </w:rPr>
          </w:pPr>
          <w:r>
            <w:rPr>
              <w:noProof/>
            </w:rPr>
            <w:t>1.1.4</w:t>
          </w:r>
          <w:r>
            <w:rPr>
              <w:rFonts w:eastAsiaTheme="minorEastAsia" w:cstheme="minorBidi"/>
              <w:noProof/>
              <w:sz w:val="24"/>
              <w:szCs w:val="24"/>
              <w:lang w:eastAsia="ja-JP"/>
            </w:rPr>
            <w:tab/>
          </w:r>
          <w:r>
            <w:rPr>
              <w:noProof/>
            </w:rPr>
            <w:t>Third party income sharing</w:t>
          </w:r>
          <w:r>
            <w:rPr>
              <w:noProof/>
            </w:rPr>
            <w:tab/>
          </w:r>
          <w:r>
            <w:rPr>
              <w:noProof/>
            </w:rPr>
            <w:fldChar w:fldCharType="begin"/>
          </w:r>
          <w:r>
            <w:rPr>
              <w:noProof/>
            </w:rPr>
            <w:instrText xml:space="preserve"> PAGEREF _Toc345073966 \h </w:instrText>
          </w:r>
          <w:r>
            <w:rPr>
              <w:noProof/>
            </w:rPr>
          </w:r>
          <w:r>
            <w:rPr>
              <w:noProof/>
            </w:rPr>
            <w:fldChar w:fldCharType="separate"/>
          </w:r>
          <w:r w:rsidR="001F0B12">
            <w:rPr>
              <w:noProof/>
            </w:rPr>
            <w:t>5</w:t>
          </w:r>
          <w:r>
            <w:rPr>
              <w:noProof/>
            </w:rPr>
            <w:fldChar w:fldCharType="end"/>
          </w:r>
        </w:p>
        <w:p w:rsidR="00CC277E" w:rsidRDefault="00CC277E">
          <w:pPr>
            <w:pStyle w:val="TOC3"/>
            <w:tabs>
              <w:tab w:val="left" w:pos="1096"/>
              <w:tab w:val="right" w:leader="dot" w:pos="9016"/>
            </w:tabs>
            <w:rPr>
              <w:rFonts w:eastAsiaTheme="minorEastAsia" w:cstheme="minorBidi"/>
              <w:noProof/>
              <w:sz w:val="24"/>
              <w:szCs w:val="24"/>
              <w:lang w:eastAsia="ja-JP"/>
            </w:rPr>
          </w:pPr>
          <w:r>
            <w:rPr>
              <w:noProof/>
            </w:rPr>
            <w:t>1.1.5</w:t>
          </w:r>
          <w:r>
            <w:rPr>
              <w:rFonts w:eastAsiaTheme="minorEastAsia" w:cstheme="minorBidi"/>
              <w:noProof/>
              <w:sz w:val="24"/>
              <w:szCs w:val="24"/>
              <w:lang w:eastAsia="ja-JP"/>
            </w:rPr>
            <w:tab/>
          </w:r>
          <w:r>
            <w:rPr>
              <w:noProof/>
            </w:rPr>
            <w:t>Payment terms</w:t>
          </w:r>
          <w:r>
            <w:rPr>
              <w:noProof/>
            </w:rPr>
            <w:tab/>
          </w:r>
          <w:r>
            <w:rPr>
              <w:noProof/>
            </w:rPr>
            <w:fldChar w:fldCharType="begin"/>
          </w:r>
          <w:r>
            <w:rPr>
              <w:noProof/>
            </w:rPr>
            <w:instrText xml:space="preserve"> PAGEREF _Toc345073967 \h </w:instrText>
          </w:r>
          <w:r>
            <w:rPr>
              <w:noProof/>
            </w:rPr>
          </w:r>
          <w:r>
            <w:rPr>
              <w:noProof/>
            </w:rPr>
            <w:fldChar w:fldCharType="separate"/>
          </w:r>
          <w:r w:rsidR="001F0B12">
            <w:rPr>
              <w:noProof/>
            </w:rPr>
            <w:t>6</w:t>
          </w:r>
          <w:r>
            <w:rPr>
              <w:noProof/>
            </w:rPr>
            <w:fldChar w:fldCharType="end"/>
          </w:r>
        </w:p>
        <w:p w:rsidR="00CC277E" w:rsidRDefault="00CC277E">
          <w:pPr>
            <w:pStyle w:val="TOC3"/>
            <w:tabs>
              <w:tab w:val="left" w:pos="1096"/>
              <w:tab w:val="right" w:leader="dot" w:pos="9016"/>
            </w:tabs>
            <w:rPr>
              <w:rFonts w:eastAsiaTheme="minorEastAsia" w:cstheme="minorBidi"/>
              <w:noProof/>
              <w:sz w:val="24"/>
              <w:szCs w:val="24"/>
              <w:lang w:eastAsia="ja-JP"/>
            </w:rPr>
          </w:pPr>
          <w:r>
            <w:rPr>
              <w:noProof/>
            </w:rPr>
            <w:t>1.1.6</w:t>
          </w:r>
          <w:r>
            <w:rPr>
              <w:rFonts w:eastAsiaTheme="minorEastAsia" w:cstheme="minorBidi"/>
              <w:noProof/>
              <w:sz w:val="24"/>
              <w:szCs w:val="24"/>
              <w:lang w:eastAsia="ja-JP"/>
            </w:rPr>
            <w:tab/>
          </w:r>
          <w:r>
            <w:rPr>
              <w:noProof/>
            </w:rPr>
            <w:t>Contract term</w:t>
          </w:r>
          <w:r>
            <w:rPr>
              <w:noProof/>
            </w:rPr>
            <w:tab/>
          </w:r>
          <w:r>
            <w:rPr>
              <w:noProof/>
            </w:rPr>
            <w:fldChar w:fldCharType="begin"/>
          </w:r>
          <w:r>
            <w:rPr>
              <w:noProof/>
            </w:rPr>
            <w:instrText xml:space="preserve"> PAGEREF _Toc345073968 \h </w:instrText>
          </w:r>
          <w:r>
            <w:rPr>
              <w:noProof/>
            </w:rPr>
          </w:r>
          <w:r>
            <w:rPr>
              <w:noProof/>
            </w:rPr>
            <w:fldChar w:fldCharType="separate"/>
          </w:r>
          <w:r w:rsidR="001F0B12">
            <w:rPr>
              <w:noProof/>
            </w:rPr>
            <w:t>6</w:t>
          </w:r>
          <w:r>
            <w:rPr>
              <w:noProof/>
            </w:rPr>
            <w:fldChar w:fldCharType="end"/>
          </w:r>
        </w:p>
        <w:p w:rsidR="00CC277E" w:rsidRDefault="00CC277E">
          <w:pPr>
            <w:pStyle w:val="TOC3"/>
            <w:tabs>
              <w:tab w:val="left" w:pos="1096"/>
              <w:tab w:val="right" w:leader="dot" w:pos="9016"/>
            </w:tabs>
            <w:rPr>
              <w:rFonts w:eastAsiaTheme="minorEastAsia" w:cstheme="minorBidi"/>
              <w:noProof/>
              <w:sz w:val="24"/>
              <w:szCs w:val="24"/>
              <w:lang w:eastAsia="ja-JP"/>
            </w:rPr>
          </w:pPr>
          <w:r>
            <w:rPr>
              <w:noProof/>
            </w:rPr>
            <w:t>1.1.7</w:t>
          </w:r>
          <w:r>
            <w:rPr>
              <w:rFonts w:eastAsiaTheme="minorEastAsia" w:cstheme="minorBidi"/>
              <w:noProof/>
              <w:sz w:val="24"/>
              <w:szCs w:val="24"/>
              <w:lang w:eastAsia="ja-JP"/>
            </w:rPr>
            <w:tab/>
          </w:r>
          <w:r>
            <w:rPr>
              <w:noProof/>
            </w:rPr>
            <w:t>Performance Management Framework (PMF)</w:t>
          </w:r>
          <w:r>
            <w:rPr>
              <w:noProof/>
            </w:rPr>
            <w:tab/>
          </w:r>
          <w:r>
            <w:rPr>
              <w:noProof/>
            </w:rPr>
            <w:fldChar w:fldCharType="begin"/>
          </w:r>
          <w:r>
            <w:rPr>
              <w:noProof/>
            </w:rPr>
            <w:instrText xml:space="preserve"> PAGEREF _Toc345073969 \h </w:instrText>
          </w:r>
          <w:r>
            <w:rPr>
              <w:noProof/>
            </w:rPr>
          </w:r>
          <w:r>
            <w:rPr>
              <w:noProof/>
            </w:rPr>
            <w:fldChar w:fldCharType="separate"/>
          </w:r>
          <w:r w:rsidR="001F0B12">
            <w:rPr>
              <w:noProof/>
            </w:rPr>
            <w:t>6</w:t>
          </w:r>
          <w:r>
            <w:rPr>
              <w:noProof/>
            </w:rPr>
            <w:fldChar w:fldCharType="end"/>
          </w:r>
        </w:p>
        <w:p w:rsidR="00CC277E" w:rsidRDefault="00CC277E">
          <w:pPr>
            <w:pStyle w:val="TOC3"/>
            <w:tabs>
              <w:tab w:val="left" w:pos="1096"/>
              <w:tab w:val="right" w:leader="dot" w:pos="9016"/>
            </w:tabs>
            <w:rPr>
              <w:rFonts w:eastAsiaTheme="minorEastAsia" w:cstheme="minorBidi"/>
              <w:noProof/>
              <w:sz w:val="24"/>
              <w:szCs w:val="24"/>
              <w:lang w:eastAsia="ja-JP"/>
            </w:rPr>
          </w:pPr>
          <w:r>
            <w:rPr>
              <w:noProof/>
            </w:rPr>
            <w:t>1.1.8</w:t>
          </w:r>
          <w:r>
            <w:rPr>
              <w:rFonts w:eastAsiaTheme="minorEastAsia" w:cstheme="minorBidi"/>
              <w:noProof/>
              <w:sz w:val="24"/>
              <w:szCs w:val="24"/>
              <w:lang w:eastAsia="ja-JP"/>
            </w:rPr>
            <w:tab/>
          </w:r>
          <w:r>
            <w:rPr>
              <w:noProof/>
            </w:rPr>
            <w:t>Insurance</w:t>
          </w:r>
          <w:r>
            <w:rPr>
              <w:noProof/>
            </w:rPr>
            <w:tab/>
          </w:r>
          <w:r>
            <w:rPr>
              <w:noProof/>
            </w:rPr>
            <w:fldChar w:fldCharType="begin"/>
          </w:r>
          <w:r>
            <w:rPr>
              <w:noProof/>
            </w:rPr>
            <w:instrText xml:space="preserve"> PAGEREF _Toc345073970 \h </w:instrText>
          </w:r>
          <w:r>
            <w:rPr>
              <w:noProof/>
            </w:rPr>
          </w:r>
          <w:r>
            <w:rPr>
              <w:noProof/>
            </w:rPr>
            <w:fldChar w:fldCharType="separate"/>
          </w:r>
          <w:r w:rsidR="001F0B12">
            <w:rPr>
              <w:noProof/>
            </w:rPr>
            <w:t>7</w:t>
          </w:r>
          <w:r>
            <w:rPr>
              <w:noProof/>
            </w:rPr>
            <w:fldChar w:fldCharType="end"/>
          </w:r>
        </w:p>
        <w:p w:rsidR="00CC277E" w:rsidRDefault="00CC277E">
          <w:pPr>
            <w:pStyle w:val="TOC3"/>
            <w:tabs>
              <w:tab w:val="left" w:pos="1096"/>
              <w:tab w:val="right" w:leader="dot" w:pos="9016"/>
            </w:tabs>
            <w:rPr>
              <w:rFonts w:eastAsiaTheme="minorEastAsia" w:cstheme="minorBidi"/>
              <w:noProof/>
              <w:sz w:val="24"/>
              <w:szCs w:val="24"/>
              <w:lang w:eastAsia="ja-JP"/>
            </w:rPr>
          </w:pPr>
          <w:r>
            <w:rPr>
              <w:noProof/>
            </w:rPr>
            <w:t>1.1.9</w:t>
          </w:r>
          <w:r>
            <w:rPr>
              <w:rFonts w:eastAsiaTheme="minorEastAsia" w:cstheme="minorBidi"/>
              <w:noProof/>
              <w:sz w:val="24"/>
              <w:szCs w:val="24"/>
              <w:lang w:eastAsia="ja-JP"/>
            </w:rPr>
            <w:tab/>
          </w:r>
          <w:r>
            <w:rPr>
              <w:noProof/>
            </w:rPr>
            <w:t>MRFs</w:t>
          </w:r>
          <w:r>
            <w:rPr>
              <w:noProof/>
            </w:rPr>
            <w:tab/>
          </w:r>
          <w:r>
            <w:rPr>
              <w:noProof/>
            </w:rPr>
            <w:fldChar w:fldCharType="begin"/>
          </w:r>
          <w:r>
            <w:rPr>
              <w:noProof/>
            </w:rPr>
            <w:instrText xml:space="preserve"> PAGEREF _Toc345073971 \h </w:instrText>
          </w:r>
          <w:r>
            <w:rPr>
              <w:noProof/>
            </w:rPr>
          </w:r>
          <w:r>
            <w:rPr>
              <w:noProof/>
            </w:rPr>
            <w:fldChar w:fldCharType="separate"/>
          </w:r>
          <w:r w:rsidR="001F0B12">
            <w:rPr>
              <w:noProof/>
            </w:rPr>
            <w:t>7</w:t>
          </w:r>
          <w:r>
            <w:rPr>
              <w:noProof/>
            </w:rPr>
            <w:fldChar w:fldCharType="end"/>
          </w:r>
        </w:p>
        <w:p w:rsidR="00CC277E" w:rsidRDefault="00CC277E">
          <w:pPr>
            <w:pStyle w:val="TOC3"/>
            <w:tabs>
              <w:tab w:val="left" w:pos="1218"/>
              <w:tab w:val="right" w:leader="dot" w:pos="9016"/>
            </w:tabs>
            <w:rPr>
              <w:rFonts w:eastAsiaTheme="minorEastAsia" w:cstheme="minorBidi"/>
              <w:noProof/>
              <w:sz w:val="24"/>
              <w:szCs w:val="24"/>
              <w:lang w:eastAsia="ja-JP"/>
            </w:rPr>
          </w:pPr>
          <w:r>
            <w:rPr>
              <w:noProof/>
            </w:rPr>
            <w:t>1.1.10</w:t>
          </w:r>
          <w:r>
            <w:rPr>
              <w:rFonts w:eastAsiaTheme="minorEastAsia" w:cstheme="minorBidi"/>
              <w:noProof/>
              <w:sz w:val="24"/>
              <w:szCs w:val="24"/>
              <w:lang w:eastAsia="ja-JP"/>
            </w:rPr>
            <w:tab/>
          </w:r>
          <w:r>
            <w:rPr>
              <w:noProof/>
            </w:rPr>
            <w:t>Additional MRF capacity</w:t>
          </w:r>
          <w:r>
            <w:rPr>
              <w:noProof/>
            </w:rPr>
            <w:tab/>
          </w:r>
          <w:r>
            <w:rPr>
              <w:noProof/>
            </w:rPr>
            <w:fldChar w:fldCharType="begin"/>
          </w:r>
          <w:r>
            <w:rPr>
              <w:noProof/>
            </w:rPr>
            <w:instrText xml:space="preserve"> PAGEREF _Toc345073972 \h </w:instrText>
          </w:r>
          <w:r>
            <w:rPr>
              <w:noProof/>
            </w:rPr>
          </w:r>
          <w:r>
            <w:rPr>
              <w:noProof/>
            </w:rPr>
            <w:fldChar w:fldCharType="separate"/>
          </w:r>
          <w:r w:rsidR="001F0B12">
            <w:rPr>
              <w:noProof/>
            </w:rPr>
            <w:t>8</w:t>
          </w:r>
          <w:r>
            <w:rPr>
              <w:noProof/>
            </w:rPr>
            <w:fldChar w:fldCharType="end"/>
          </w:r>
        </w:p>
        <w:p w:rsidR="00CC277E" w:rsidRDefault="00CC277E">
          <w:pPr>
            <w:pStyle w:val="TOC3"/>
            <w:tabs>
              <w:tab w:val="left" w:pos="1218"/>
              <w:tab w:val="right" w:leader="dot" w:pos="9016"/>
            </w:tabs>
            <w:rPr>
              <w:rFonts w:eastAsiaTheme="minorEastAsia" w:cstheme="minorBidi"/>
              <w:noProof/>
              <w:sz w:val="24"/>
              <w:szCs w:val="24"/>
              <w:lang w:eastAsia="ja-JP"/>
            </w:rPr>
          </w:pPr>
          <w:r>
            <w:rPr>
              <w:noProof/>
            </w:rPr>
            <w:t>1.1.11</w:t>
          </w:r>
          <w:r>
            <w:rPr>
              <w:rFonts w:eastAsiaTheme="minorEastAsia" w:cstheme="minorBidi"/>
              <w:noProof/>
              <w:sz w:val="24"/>
              <w:szCs w:val="24"/>
              <w:lang w:eastAsia="ja-JP"/>
            </w:rPr>
            <w:tab/>
          </w:r>
          <w:r>
            <w:rPr>
              <w:noProof/>
            </w:rPr>
            <w:t>HWRC operation</w:t>
          </w:r>
          <w:r>
            <w:rPr>
              <w:noProof/>
            </w:rPr>
            <w:tab/>
          </w:r>
          <w:r>
            <w:rPr>
              <w:noProof/>
            </w:rPr>
            <w:fldChar w:fldCharType="begin"/>
          </w:r>
          <w:r>
            <w:rPr>
              <w:noProof/>
            </w:rPr>
            <w:instrText xml:space="preserve"> PAGEREF _Toc345073973 \h </w:instrText>
          </w:r>
          <w:r>
            <w:rPr>
              <w:noProof/>
            </w:rPr>
          </w:r>
          <w:r>
            <w:rPr>
              <w:noProof/>
            </w:rPr>
            <w:fldChar w:fldCharType="separate"/>
          </w:r>
          <w:r w:rsidR="001F0B12">
            <w:rPr>
              <w:noProof/>
            </w:rPr>
            <w:t>8</w:t>
          </w:r>
          <w:r>
            <w:rPr>
              <w:noProof/>
            </w:rPr>
            <w:fldChar w:fldCharType="end"/>
          </w:r>
        </w:p>
        <w:p w:rsidR="00CC277E" w:rsidRDefault="00CC277E">
          <w:pPr>
            <w:pStyle w:val="TOC1"/>
            <w:tabs>
              <w:tab w:val="left" w:pos="382"/>
              <w:tab w:val="right" w:leader="dot" w:pos="9016"/>
            </w:tabs>
            <w:rPr>
              <w:rFonts w:eastAsiaTheme="minorEastAsia" w:cstheme="minorBidi"/>
              <w:b w:val="0"/>
              <w:noProof/>
              <w:lang w:eastAsia="ja-JP"/>
            </w:rPr>
          </w:pPr>
          <w:r>
            <w:rPr>
              <w:noProof/>
            </w:rPr>
            <w:t>2</w:t>
          </w:r>
          <w:r>
            <w:rPr>
              <w:rFonts w:eastAsiaTheme="minorEastAsia" w:cstheme="minorBidi"/>
              <w:b w:val="0"/>
              <w:noProof/>
              <w:lang w:eastAsia="ja-JP"/>
            </w:rPr>
            <w:tab/>
          </w:r>
          <w:r>
            <w:rPr>
              <w:noProof/>
            </w:rPr>
            <w:t>Resource Recovery Contract</w:t>
          </w:r>
          <w:r>
            <w:rPr>
              <w:noProof/>
            </w:rPr>
            <w:tab/>
          </w:r>
          <w:r>
            <w:rPr>
              <w:noProof/>
            </w:rPr>
            <w:fldChar w:fldCharType="begin"/>
          </w:r>
          <w:r>
            <w:rPr>
              <w:noProof/>
            </w:rPr>
            <w:instrText xml:space="preserve"> PAGEREF _Toc345073974 \h </w:instrText>
          </w:r>
          <w:r>
            <w:rPr>
              <w:noProof/>
            </w:rPr>
          </w:r>
          <w:r>
            <w:rPr>
              <w:noProof/>
            </w:rPr>
            <w:fldChar w:fldCharType="separate"/>
          </w:r>
          <w:r w:rsidR="001F0B12">
            <w:rPr>
              <w:noProof/>
            </w:rPr>
            <w:t>8</w:t>
          </w:r>
          <w:r>
            <w:rPr>
              <w:noProof/>
            </w:rPr>
            <w:fldChar w:fldCharType="end"/>
          </w:r>
        </w:p>
        <w:p w:rsidR="00CC277E" w:rsidRDefault="00CC277E">
          <w:pPr>
            <w:pStyle w:val="TOC2"/>
            <w:tabs>
              <w:tab w:val="left" w:pos="752"/>
              <w:tab w:val="right" w:leader="dot" w:pos="9016"/>
            </w:tabs>
            <w:rPr>
              <w:rFonts w:eastAsiaTheme="minorEastAsia" w:cstheme="minorBidi"/>
              <w:b w:val="0"/>
              <w:noProof/>
              <w:sz w:val="24"/>
              <w:szCs w:val="24"/>
              <w:lang w:eastAsia="ja-JP"/>
            </w:rPr>
          </w:pPr>
          <w:r>
            <w:rPr>
              <w:noProof/>
            </w:rPr>
            <w:t>2.1</w:t>
          </w:r>
          <w:r>
            <w:rPr>
              <w:rFonts w:eastAsiaTheme="minorEastAsia" w:cstheme="minorBidi"/>
              <w:b w:val="0"/>
              <w:noProof/>
              <w:sz w:val="24"/>
              <w:szCs w:val="24"/>
              <w:lang w:eastAsia="ja-JP"/>
            </w:rPr>
            <w:tab/>
          </w:r>
          <w:r>
            <w:rPr>
              <w:noProof/>
            </w:rPr>
            <w:t>Saving Opportunities</w:t>
          </w:r>
          <w:r>
            <w:rPr>
              <w:noProof/>
            </w:rPr>
            <w:tab/>
          </w:r>
          <w:r>
            <w:rPr>
              <w:noProof/>
            </w:rPr>
            <w:fldChar w:fldCharType="begin"/>
          </w:r>
          <w:r>
            <w:rPr>
              <w:noProof/>
            </w:rPr>
            <w:instrText xml:space="preserve"> PAGEREF _Toc345073975 \h </w:instrText>
          </w:r>
          <w:r>
            <w:rPr>
              <w:noProof/>
            </w:rPr>
          </w:r>
          <w:r>
            <w:rPr>
              <w:noProof/>
            </w:rPr>
            <w:fldChar w:fldCharType="separate"/>
          </w:r>
          <w:r w:rsidR="001F0B12">
            <w:rPr>
              <w:noProof/>
            </w:rPr>
            <w:t>8</w:t>
          </w:r>
          <w:r>
            <w:rPr>
              <w:noProof/>
            </w:rPr>
            <w:fldChar w:fldCharType="end"/>
          </w:r>
        </w:p>
        <w:p w:rsidR="00CC277E" w:rsidRDefault="00CC277E">
          <w:pPr>
            <w:pStyle w:val="TOC3"/>
            <w:tabs>
              <w:tab w:val="left" w:pos="1096"/>
              <w:tab w:val="right" w:leader="dot" w:pos="9016"/>
            </w:tabs>
            <w:rPr>
              <w:rFonts w:eastAsiaTheme="minorEastAsia" w:cstheme="minorBidi"/>
              <w:noProof/>
              <w:sz w:val="24"/>
              <w:szCs w:val="24"/>
              <w:lang w:eastAsia="ja-JP"/>
            </w:rPr>
          </w:pPr>
          <w:r>
            <w:rPr>
              <w:noProof/>
            </w:rPr>
            <w:t>2.1.1</w:t>
          </w:r>
          <w:r>
            <w:rPr>
              <w:rFonts w:eastAsiaTheme="minorEastAsia" w:cstheme="minorBidi"/>
              <w:noProof/>
              <w:sz w:val="24"/>
              <w:szCs w:val="24"/>
              <w:lang w:eastAsia="ja-JP"/>
            </w:rPr>
            <w:tab/>
          </w:r>
          <w:r>
            <w:rPr>
              <w:noProof/>
            </w:rPr>
            <w:t>Change in law reserve</w:t>
          </w:r>
          <w:r>
            <w:rPr>
              <w:noProof/>
            </w:rPr>
            <w:tab/>
          </w:r>
          <w:r>
            <w:rPr>
              <w:noProof/>
            </w:rPr>
            <w:fldChar w:fldCharType="begin"/>
          </w:r>
          <w:r>
            <w:rPr>
              <w:noProof/>
            </w:rPr>
            <w:instrText xml:space="preserve"> PAGEREF _Toc345073976 \h </w:instrText>
          </w:r>
          <w:r>
            <w:rPr>
              <w:noProof/>
            </w:rPr>
          </w:r>
          <w:r>
            <w:rPr>
              <w:noProof/>
            </w:rPr>
            <w:fldChar w:fldCharType="separate"/>
          </w:r>
          <w:r w:rsidR="001F0B12">
            <w:rPr>
              <w:noProof/>
            </w:rPr>
            <w:t>8</w:t>
          </w:r>
          <w:r>
            <w:rPr>
              <w:noProof/>
            </w:rPr>
            <w:fldChar w:fldCharType="end"/>
          </w:r>
        </w:p>
        <w:p w:rsidR="00CC277E" w:rsidRDefault="00CC277E">
          <w:pPr>
            <w:pStyle w:val="TOC3"/>
            <w:tabs>
              <w:tab w:val="left" w:pos="1096"/>
              <w:tab w:val="right" w:leader="dot" w:pos="9016"/>
            </w:tabs>
            <w:rPr>
              <w:rFonts w:eastAsiaTheme="minorEastAsia" w:cstheme="minorBidi"/>
              <w:noProof/>
              <w:sz w:val="24"/>
              <w:szCs w:val="24"/>
              <w:lang w:eastAsia="ja-JP"/>
            </w:rPr>
          </w:pPr>
          <w:r>
            <w:rPr>
              <w:noProof/>
            </w:rPr>
            <w:t>2.1.2</w:t>
          </w:r>
          <w:r>
            <w:rPr>
              <w:rFonts w:eastAsiaTheme="minorEastAsia" w:cstheme="minorBidi"/>
              <w:noProof/>
              <w:sz w:val="24"/>
              <w:szCs w:val="24"/>
              <w:lang w:eastAsia="ja-JP"/>
            </w:rPr>
            <w:tab/>
          </w:r>
          <w:r>
            <w:rPr>
              <w:noProof/>
            </w:rPr>
            <w:t>Lifecycle profile</w:t>
          </w:r>
          <w:r>
            <w:rPr>
              <w:noProof/>
            </w:rPr>
            <w:tab/>
          </w:r>
          <w:r>
            <w:rPr>
              <w:noProof/>
            </w:rPr>
            <w:fldChar w:fldCharType="begin"/>
          </w:r>
          <w:r>
            <w:rPr>
              <w:noProof/>
            </w:rPr>
            <w:instrText xml:space="preserve"> PAGEREF _Toc345073977 \h </w:instrText>
          </w:r>
          <w:r>
            <w:rPr>
              <w:noProof/>
            </w:rPr>
          </w:r>
          <w:r>
            <w:rPr>
              <w:noProof/>
            </w:rPr>
            <w:fldChar w:fldCharType="separate"/>
          </w:r>
          <w:r w:rsidR="001F0B12">
            <w:rPr>
              <w:noProof/>
            </w:rPr>
            <w:t>8</w:t>
          </w:r>
          <w:r>
            <w:rPr>
              <w:noProof/>
            </w:rPr>
            <w:fldChar w:fldCharType="end"/>
          </w:r>
        </w:p>
        <w:p w:rsidR="00CC277E" w:rsidRDefault="00CC277E">
          <w:pPr>
            <w:pStyle w:val="TOC3"/>
            <w:tabs>
              <w:tab w:val="left" w:pos="1096"/>
              <w:tab w:val="right" w:leader="dot" w:pos="9016"/>
            </w:tabs>
            <w:rPr>
              <w:rFonts w:eastAsiaTheme="minorEastAsia" w:cstheme="minorBidi"/>
              <w:noProof/>
              <w:sz w:val="24"/>
              <w:szCs w:val="24"/>
              <w:lang w:eastAsia="ja-JP"/>
            </w:rPr>
          </w:pPr>
          <w:r>
            <w:rPr>
              <w:noProof/>
            </w:rPr>
            <w:t>2.1.3</w:t>
          </w:r>
          <w:r>
            <w:rPr>
              <w:rFonts w:eastAsiaTheme="minorEastAsia" w:cstheme="minorBidi"/>
              <w:noProof/>
              <w:sz w:val="24"/>
              <w:szCs w:val="24"/>
              <w:lang w:eastAsia="ja-JP"/>
            </w:rPr>
            <w:tab/>
          </w:r>
          <w:r>
            <w:rPr>
              <w:noProof/>
            </w:rPr>
            <w:t>Refinancing/capital injection</w:t>
          </w:r>
          <w:r>
            <w:rPr>
              <w:noProof/>
            </w:rPr>
            <w:tab/>
          </w:r>
          <w:r>
            <w:rPr>
              <w:noProof/>
            </w:rPr>
            <w:fldChar w:fldCharType="begin"/>
          </w:r>
          <w:r>
            <w:rPr>
              <w:noProof/>
            </w:rPr>
            <w:instrText xml:space="preserve"> PAGEREF _Toc345073978 \h </w:instrText>
          </w:r>
          <w:r>
            <w:rPr>
              <w:noProof/>
            </w:rPr>
          </w:r>
          <w:r>
            <w:rPr>
              <w:noProof/>
            </w:rPr>
            <w:fldChar w:fldCharType="separate"/>
          </w:r>
          <w:r w:rsidR="001F0B12">
            <w:rPr>
              <w:noProof/>
            </w:rPr>
            <w:t>8</w:t>
          </w:r>
          <w:r>
            <w:rPr>
              <w:noProof/>
            </w:rPr>
            <w:fldChar w:fldCharType="end"/>
          </w:r>
        </w:p>
        <w:p w:rsidR="00CC277E" w:rsidRDefault="00CC277E">
          <w:pPr>
            <w:pStyle w:val="TOC3"/>
            <w:tabs>
              <w:tab w:val="left" w:pos="1096"/>
              <w:tab w:val="right" w:leader="dot" w:pos="9016"/>
            </w:tabs>
            <w:rPr>
              <w:rFonts w:eastAsiaTheme="minorEastAsia" w:cstheme="minorBidi"/>
              <w:noProof/>
              <w:sz w:val="24"/>
              <w:szCs w:val="24"/>
              <w:lang w:eastAsia="ja-JP"/>
            </w:rPr>
          </w:pPr>
          <w:r>
            <w:rPr>
              <w:noProof/>
            </w:rPr>
            <w:t>2.1.4</w:t>
          </w:r>
          <w:r>
            <w:rPr>
              <w:rFonts w:eastAsiaTheme="minorEastAsia" w:cstheme="minorBidi"/>
              <w:noProof/>
              <w:sz w:val="24"/>
              <w:szCs w:val="24"/>
              <w:lang w:eastAsia="ja-JP"/>
            </w:rPr>
            <w:tab/>
          </w:r>
          <w:r>
            <w:rPr>
              <w:noProof/>
            </w:rPr>
            <w:t>Increasing contract waste</w:t>
          </w:r>
          <w:r>
            <w:rPr>
              <w:noProof/>
            </w:rPr>
            <w:tab/>
          </w:r>
          <w:r>
            <w:rPr>
              <w:noProof/>
            </w:rPr>
            <w:fldChar w:fldCharType="begin"/>
          </w:r>
          <w:r>
            <w:rPr>
              <w:noProof/>
            </w:rPr>
            <w:instrText xml:space="preserve"> PAGEREF _Toc345073979 \h </w:instrText>
          </w:r>
          <w:r>
            <w:rPr>
              <w:noProof/>
            </w:rPr>
          </w:r>
          <w:r>
            <w:rPr>
              <w:noProof/>
            </w:rPr>
            <w:fldChar w:fldCharType="separate"/>
          </w:r>
          <w:r w:rsidR="001F0B12">
            <w:rPr>
              <w:noProof/>
            </w:rPr>
            <w:t>8</w:t>
          </w:r>
          <w:r>
            <w:rPr>
              <w:noProof/>
            </w:rPr>
            <w:fldChar w:fldCharType="end"/>
          </w:r>
        </w:p>
        <w:p w:rsidR="00CC277E" w:rsidRDefault="00CC277E">
          <w:pPr>
            <w:pStyle w:val="TOC3"/>
            <w:tabs>
              <w:tab w:val="left" w:pos="1096"/>
              <w:tab w:val="right" w:leader="dot" w:pos="9016"/>
            </w:tabs>
            <w:rPr>
              <w:rFonts w:eastAsiaTheme="minorEastAsia" w:cstheme="minorBidi"/>
              <w:noProof/>
              <w:sz w:val="24"/>
              <w:szCs w:val="24"/>
              <w:lang w:eastAsia="ja-JP"/>
            </w:rPr>
          </w:pPr>
          <w:r>
            <w:rPr>
              <w:noProof/>
            </w:rPr>
            <w:t>2.5.2</w:t>
          </w:r>
          <w:r>
            <w:rPr>
              <w:rFonts w:eastAsiaTheme="minorEastAsia" w:cstheme="minorBidi"/>
              <w:noProof/>
              <w:sz w:val="24"/>
              <w:szCs w:val="24"/>
              <w:lang w:eastAsia="ja-JP"/>
            </w:rPr>
            <w:tab/>
          </w:r>
          <w:r>
            <w:rPr>
              <w:noProof/>
            </w:rPr>
            <w:t>Third party income sharing</w:t>
          </w:r>
          <w:r>
            <w:rPr>
              <w:noProof/>
            </w:rPr>
            <w:tab/>
          </w:r>
          <w:r>
            <w:rPr>
              <w:noProof/>
            </w:rPr>
            <w:fldChar w:fldCharType="begin"/>
          </w:r>
          <w:r>
            <w:rPr>
              <w:noProof/>
            </w:rPr>
            <w:instrText xml:space="preserve"> PAGEREF _Toc345073980 \h </w:instrText>
          </w:r>
          <w:r>
            <w:rPr>
              <w:noProof/>
            </w:rPr>
          </w:r>
          <w:r>
            <w:rPr>
              <w:noProof/>
            </w:rPr>
            <w:fldChar w:fldCharType="separate"/>
          </w:r>
          <w:r w:rsidR="001F0B12">
            <w:rPr>
              <w:noProof/>
            </w:rPr>
            <w:t>8</w:t>
          </w:r>
          <w:r>
            <w:rPr>
              <w:noProof/>
            </w:rPr>
            <w:fldChar w:fldCharType="end"/>
          </w:r>
        </w:p>
        <w:p w:rsidR="00CC277E" w:rsidRDefault="00CC277E">
          <w:pPr>
            <w:pStyle w:val="TOC3"/>
            <w:tabs>
              <w:tab w:val="left" w:pos="1096"/>
              <w:tab w:val="right" w:leader="dot" w:pos="9016"/>
            </w:tabs>
            <w:rPr>
              <w:rFonts w:eastAsiaTheme="minorEastAsia" w:cstheme="minorBidi"/>
              <w:noProof/>
              <w:sz w:val="24"/>
              <w:szCs w:val="24"/>
              <w:lang w:eastAsia="ja-JP"/>
            </w:rPr>
          </w:pPr>
          <w:r>
            <w:rPr>
              <w:noProof/>
            </w:rPr>
            <w:t>2.5.3</w:t>
          </w:r>
          <w:r>
            <w:rPr>
              <w:rFonts w:eastAsiaTheme="minorEastAsia" w:cstheme="minorBidi"/>
              <w:noProof/>
              <w:sz w:val="24"/>
              <w:szCs w:val="24"/>
              <w:lang w:eastAsia="ja-JP"/>
            </w:rPr>
            <w:tab/>
          </w:r>
          <w:r>
            <w:rPr>
              <w:noProof/>
            </w:rPr>
            <w:t>Insurance</w:t>
          </w:r>
          <w:r>
            <w:rPr>
              <w:noProof/>
            </w:rPr>
            <w:tab/>
          </w:r>
          <w:r>
            <w:rPr>
              <w:noProof/>
            </w:rPr>
            <w:fldChar w:fldCharType="begin"/>
          </w:r>
          <w:r>
            <w:rPr>
              <w:noProof/>
            </w:rPr>
            <w:instrText xml:space="preserve"> PAGEREF _Toc345073981 \h </w:instrText>
          </w:r>
          <w:r>
            <w:rPr>
              <w:noProof/>
            </w:rPr>
          </w:r>
          <w:r>
            <w:rPr>
              <w:noProof/>
            </w:rPr>
            <w:fldChar w:fldCharType="separate"/>
          </w:r>
          <w:r w:rsidR="001F0B12">
            <w:rPr>
              <w:noProof/>
            </w:rPr>
            <w:t>8</w:t>
          </w:r>
          <w:r>
            <w:rPr>
              <w:noProof/>
            </w:rPr>
            <w:fldChar w:fldCharType="end"/>
          </w:r>
        </w:p>
        <w:p w:rsidR="00CC277E" w:rsidRDefault="00CC277E">
          <w:pPr>
            <w:pStyle w:val="TOC1"/>
            <w:tabs>
              <w:tab w:val="left" w:pos="382"/>
              <w:tab w:val="right" w:leader="dot" w:pos="9016"/>
            </w:tabs>
            <w:rPr>
              <w:rFonts w:eastAsiaTheme="minorEastAsia" w:cstheme="minorBidi"/>
              <w:b w:val="0"/>
              <w:noProof/>
              <w:lang w:eastAsia="ja-JP"/>
            </w:rPr>
          </w:pPr>
          <w:r>
            <w:rPr>
              <w:noProof/>
            </w:rPr>
            <w:t>3</w:t>
          </w:r>
          <w:r>
            <w:rPr>
              <w:rFonts w:eastAsiaTheme="minorEastAsia" w:cstheme="minorBidi"/>
              <w:b w:val="0"/>
              <w:noProof/>
              <w:lang w:eastAsia="ja-JP"/>
            </w:rPr>
            <w:tab/>
          </w:r>
          <w:r>
            <w:rPr>
              <w:noProof/>
            </w:rPr>
            <w:t>Summary of savings opportunities explored</w:t>
          </w:r>
          <w:r>
            <w:rPr>
              <w:noProof/>
            </w:rPr>
            <w:tab/>
          </w:r>
          <w:r>
            <w:rPr>
              <w:noProof/>
            </w:rPr>
            <w:fldChar w:fldCharType="begin"/>
          </w:r>
          <w:r>
            <w:rPr>
              <w:noProof/>
            </w:rPr>
            <w:instrText xml:space="preserve"> PAGEREF _Toc345073982 \h </w:instrText>
          </w:r>
          <w:r>
            <w:rPr>
              <w:noProof/>
            </w:rPr>
          </w:r>
          <w:r>
            <w:rPr>
              <w:noProof/>
            </w:rPr>
            <w:fldChar w:fldCharType="separate"/>
          </w:r>
          <w:r w:rsidR="001F0B12">
            <w:rPr>
              <w:noProof/>
            </w:rPr>
            <w:t>8</w:t>
          </w:r>
          <w:r>
            <w:rPr>
              <w:noProof/>
            </w:rPr>
            <w:fldChar w:fldCharType="end"/>
          </w:r>
        </w:p>
        <w:p w:rsidR="00CC277E" w:rsidRDefault="00CC277E">
          <w:pPr>
            <w:pStyle w:val="TOC2"/>
            <w:tabs>
              <w:tab w:val="left" w:pos="752"/>
              <w:tab w:val="right" w:leader="dot" w:pos="9016"/>
            </w:tabs>
            <w:rPr>
              <w:rFonts w:eastAsiaTheme="minorEastAsia" w:cstheme="minorBidi"/>
              <w:b w:val="0"/>
              <w:noProof/>
              <w:sz w:val="24"/>
              <w:szCs w:val="24"/>
              <w:lang w:eastAsia="ja-JP"/>
            </w:rPr>
          </w:pPr>
          <w:r>
            <w:rPr>
              <w:noProof/>
            </w:rPr>
            <w:t>3.1</w:t>
          </w:r>
          <w:r>
            <w:rPr>
              <w:rFonts w:eastAsiaTheme="minorEastAsia" w:cstheme="minorBidi"/>
              <w:b w:val="0"/>
              <w:noProof/>
              <w:sz w:val="24"/>
              <w:szCs w:val="24"/>
              <w:lang w:eastAsia="ja-JP"/>
            </w:rPr>
            <w:tab/>
          </w:r>
          <w:r>
            <w:rPr>
              <w:noProof/>
            </w:rPr>
            <w:t>Savings actions already enabled</w:t>
          </w:r>
          <w:r>
            <w:rPr>
              <w:noProof/>
            </w:rPr>
            <w:tab/>
          </w:r>
          <w:r>
            <w:rPr>
              <w:noProof/>
            </w:rPr>
            <w:fldChar w:fldCharType="begin"/>
          </w:r>
          <w:r>
            <w:rPr>
              <w:noProof/>
            </w:rPr>
            <w:instrText xml:space="preserve"> PAGEREF _Toc345073983 \h </w:instrText>
          </w:r>
          <w:r>
            <w:rPr>
              <w:noProof/>
            </w:rPr>
          </w:r>
          <w:r>
            <w:rPr>
              <w:noProof/>
            </w:rPr>
            <w:fldChar w:fldCharType="separate"/>
          </w:r>
          <w:r w:rsidR="001F0B12">
            <w:rPr>
              <w:noProof/>
            </w:rPr>
            <w:t>8</w:t>
          </w:r>
          <w:r>
            <w:rPr>
              <w:noProof/>
            </w:rPr>
            <w:fldChar w:fldCharType="end"/>
          </w:r>
        </w:p>
        <w:p w:rsidR="00B83F6E" w:rsidRDefault="00B83F6E">
          <w:r>
            <w:rPr>
              <w:b/>
              <w:bCs/>
              <w:noProof/>
            </w:rPr>
            <w:fldChar w:fldCharType="end"/>
          </w:r>
        </w:p>
      </w:sdtContent>
    </w:sdt>
    <w:p w:rsidR="006B5B3C" w:rsidRDefault="006B5B3C">
      <w:pPr>
        <w:spacing w:after="0"/>
        <w:rPr>
          <w:rFonts w:cs="Arial"/>
          <w:sz w:val="22"/>
        </w:rPr>
      </w:pPr>
    </w:p>
    <w:p w:rsidR="004F3EFC" w:rsidRDefault="004F3EFC">
      <w:pPr>
        <w:spacing w:after="0"/>
        <w:rPr>
          <w:rFonts w:cs="Arial"/>
          <w:sz w:val="22"/>
        </w:rPr>
      </w:pPr>
    </w:p>
    <w:p w:rsidR="004F3EFC" w:rsidRDefault="004F3EFC">
      <w:pPr>
        <w:spacing w:after="0"/>
        <w:rPr>
          <w:rFonts w:cs="Arial"/>
          <w:sz w:val="22"/>
        </w:rPr>
      </w:pPr>
    </w:p>
    <w:p w:rsidR="004F3EFC" w:rsidRDefault="004F3EFC">
      <w:pPr>
        <w:spacing w:after="0"/>
        <w:rPr>
          <w:rFonts w:cs="Arial"/>
          <w:sz w:val="22"/>
        </w:rPr>
      </w:pPr>
    </w:p>
    <w:p w:rsidR="004F3EFC" w:rsidRDefault="004F3EFC">
      <w:pPr>
        <w:spacing w:after="0"/>
        <w:rPr>
          <w:rFonts w:cs="Arial"/>
          <w:sz w:val="22"/>
        </w:rPr>
      </w:pPr>
    </w:p>
    <w:p w:rsidR="004F3EFC" w:rsidRDefault="004F3EFC">
      <w:pPr>
        <w:spacing w:after="0"/>
        <w:rPr>
          <w:rFonts w:cs="Arial"/>
          <w:sz w:val="22"/>
        </w:rPr>
      </w:pPr>
    </w:p>
    <w:p w:rsidR="004F3EFC" w:rsidRDefault="004F3EFC">
      <w:pPr>
        <w:spacing w:after="0"/>
        <w:rPr>
          <w:rFonts w:cs="Arial"/>
          <w:sz w:val="22"/>
        </w:rPr>
      </w:pPr>
    </w:p>
    <w:p w:rsidR="004F3EFC" w:rsidRDefault="004F3EFC">
      <w:pPr>
        <w:spacing w:after="0"/>
        <w:rPr>
          <w:rFonts w:cs="Arial"/>
          <w:sz w:val="22"/>
        </w:rPr>
      </w:pPr>
    </w:p>
    <w:p w:rsidR="004F3EFC" w:rsidRDefault="004F3EFC">
      <w:pPr>
        <w:spacing w:after="0"/>
        <w:rPr>
          <w:rFonts w:cs="Arial"/>
          <w:sz w:val="22"/>
        </w:rPr>
      </w:pPr>
    </w:p>
    <w:p w:rsidR="004F3EFC" w:rsidRDefault="004F3EFC">
      <w:pPr>
        <w:spacing w:after="0"/>
        <w:rPr>
          <w:rFonts w:cs="Arial"/>
          <w:sz w:val="22"/>
        </w:rPr>
      </w:pPr>
    </w:p>
    <w:p w:rsidR="004F3EFC" w:rsidRDefault="004F3EFC">
      <w:pPr>
        <w:spacing w:after="0"/>
        <w:rPr>
          <w:rFonts w:cs="Arial"/>
          <w:sz w:val="22"/>
        </w:rPr>
      </w:pPr>
    </w:p>
    <w:p w:rsidR="004F3EFC" w:rsidRDefault="004F3EFC">
      <w:pPr>
        <w:spacing w:after="0"/>
        <w:rPr>
          <w:rFonts w:cs="Arial"/>
          <w:sz w:val="22"/>
        </w:rPr>
      </w:pPr>
    </w:p>
    <w:p w:rsidR="004F3EFC" w:rsidRDefault="004F3EFC">
      <w:pPr>
        <w:spacing w:after="0"/>
        <w:rPr>
          <w:rFonts w:cs="Arial"/>
          <w:sz w:val="22"/>
        </w:rPr>
      </w:pPr>
    </w:p>
    <w:p w:rsidR="004F3EFC" w:rsidRDefault="004F3EFC">
      <w:pPr>
        <w:spacing w:after="0"/>
        <w:rPr>
          <w:rFonts w:cs="Arial"/>
          <w:sz w:val="22"/>
        </w:rPr>
      </w:pPr>
    </w:p>
    <w:p w:rsidR="004F3EFC" w:rsidRDefault="004F3EFC">
      <w:pPr>
        <w:spacing w:after="0"/>
        <w:rPr>
          <w:rFonts w:cs="Arial"/>
          <w:sz w:val="22"/>
        </w:rPr>
      </w:pPr>
    </w:p>
    <w:p w:rsidR="004F3EFC" w:rsidRDefault="004F3EFC">
      <w:pPr>
        <w:spacing w:after="0"/>
        <w:rPr>
          <w:rFonts w:cs="Arial"/>
          <w:sz w:val="22"/>
        </w:rPr>
      </w:pPr>
    </w:p>
    <w:p w:rsidR="004F3EFC" w:rsidRDefault="004F3EFC">
      <w:pPr>
        <w:spacing w:after="0"/>
        <w:rPr>
          <w:rFonts w:cs="Arial"/>
          <w:sz w:val="22"/>
        </w:rPr>
      </w:pPr>
    </w:p>
    <w:p w:rsidR="004F3EFC" w:rsidRDefault="004F3EFC">
      <w:pPr>
        <w:spacing w:after="0"/>
        <w:rPr>
          <w:rFonts w:cs="Arial"/>
          <w:sz w:val="22"/>
        </w:rPr>
      </w:pPr>
    </w:p>
    <w:p w:rsidR="004F3EFC" w:rsidRDefault="004F3EFC">
      <w:pPr>
        <w:spacing w:after="0"/>
        <w:rPr>
          <w:rFonts w:cs="Arial"/>
          <w:sz w:val="22"/>
        </w:rPr>
      </w:pPr>
    </w:p>
    <w:p w:rsidR="004F3EFC" w:rsidRDefault="004F3EFC">
      <w:pPr>
        <w:spacing w:after="0"/>
        <w:rPr>
          <w:rFonts w:cs="Arial"/>
          <w:sz w:val="22"/>
        </w:rPr>
      </w:pPr>
    </w:p>
    <w:p w:rsidR="004F3EFC" w:rsidRDefault="004F3EFC">
      <w:pPr>
        <w:spacing w:after="0"/>
        <w:rPr>
          <w:rFonts w:cs="Arial"/>
          <w:sz w:val="22"/>
        </w:rPr>
      </w:pPr>
    </w:p>
    <w:p w:rsidR="004F3EFC" w:rsidRPr="00DD34F4" w:rsidRDefault="004F3EFC">
      <w:pPr>
        <w:spacing w:after="0"/>
        <w:rPr>
          <w:rFonts w:eastAsiaTheme="majorEastAsia" w:cs="Arial"/>
          <w:bCs/>
          <w:color w:val="007377"/>
          <w:sz w:val="36"/>
          <w:szCs w:val="36"/>
          <w:lang w:eastAsia="en-US"/>
        </w:rPr>
      </w:pPr>
    </w:p>
    <w:p w:rsidR="004F3EFC" w:rsidRPr="00BC0701" w:rsidRDefault="004F3EFC" w:rsidP="004F3EFC">
      <w:pPr>
        <w:pStyle w:val="Heading1"/>
      </w:pPr>
      <w:bookmarkStart w:id="1" w:name="_Toc345073624"/>
      <w:bookmarkStart w:id="2" w:name="_Toc345073959"/>
      <w:bookmarkEnd w:id="0"/>
      <w:r w:rsidRPr="00BC0701">
        <w:lastRenderedPageBreak/>
        <w:t>MRWA contract review</w:t>
      </w:r>
      <w:bookmarkEnd w:id="1"/>
      <w:bookmarkEnd w:id="2"/>
    </w:p>
    <w:p w:rsidR="004F3EFC" w:rsidRPr="00BC0701" w:rsidRDefault="004F3EFC" w:rsidP="00E559CA">
      <w:pPr>
        <w:pStyle w:val="Heading2"/>
      </w:pPr>
      <w:bookmarkStart w:id="3" w:name="_Toc345073625"/>
      <w:bookmarkStart w:id="4" w:name="_Toc345073960"/>
      <w:r w:rsidRPr="00BC0701">
        <w:t>Introduction</w:t>
      </w:r>
      <w:bookmarkEnd w:id="3"/>
      <w:bookmarkEnd w:id="4"/>
    </w:p>
    <w:p w:rsidR="004F3EFC" w:rsidRPr="00BC0701" w:rsidRDefault="004F3EFC" w:rsidP="004F3EFC">
      <w:pPr>
        <w:rPr>
          <w:rFonts w:cs="Arial"/>
        </w:rPr>
      </w:pPr>
      <w:r w:rsidRPr="00BC0701">
        <w:rPr>
          <w:rFonts w:cs="Arial"/>
        </w:rPr>
        <w:t xml:space="preserve">The treatment and disposal of the residues generated by the collection systems are by and large managed through the Merseyside Recycling and Waste Authority (MRWA). MRWA manage the wastes delivered to it by the districts.  Currently MRWA has two significant contracts in place to manage separate aspects of the service, </w:t>
      </w:r>
    </w:p>
    <w:p w:rsidR="004F3EFC" w:rsidRPr="00BC0701" w:rsidRDefault="004F3EFC" w:rsidP="008B5D7A">
      <w:pPr>
        <w:numPr>
          <w:ilvl w:val="0"/>
          <w:numId w:val="7"/>
        </w:numPr>
        <w:spacing w:after="200" w:line="276" w:lineRule="auto"/>
        <w:rPr>
          <w:rFonts w:cs="Arial"/>
        </w:rPr>
      </w:pPr>
      <w:r w:rsidRPr="00BC0701">
        <w:rPr>
          <w:rFonts w:cs="Arial"/>
        </w:rPr>
        <w:t>Waste management and recycling contract (WMRC) that provides management of the HWRCs, MRF and transfer stations and any subsequent haulage of the waste to subsequent treatment or disposal</w:t>
      </w:r>
    </w:p>
    <w:p w:rsidR="004F3EFC" w:rsidRPr="00BC0701" w:rsidRDefault="004F3EFC" w:rsidP="008B5D7A">
      <w:pPr>
        <w:numPr>
          <w:ilvl w:val="0"/>
          <w:numId w:val="7"/>
        </w:numPr>
        <w:spacing w:after="200" w:line="276" w:lineRule="auto"/>
        <w:rPr>
          <w:rFonts w:cs="Arial"/>
        </w:rPr>
      </w:pPr>
      <w:r w:rsidRPr="00BC0701">
        <w:rPr>
          <w:rFonts w:cs="Arial"/>
        </w:rPr>
        <w:t xml:space="preserve">Resource Recovery Contract (RRC) that provides disposal of the residual waste principally via energy from waste (EfW) and landfill of untreatable wastes. This contract will commence during 2016 and is expected to be fully operational by </w:t>
      </w:r>
      <w:r>
        <w:rPr>
          <w:rFonts w:cs="Arial"/>
        </w:rPr>
        <w:t>2017.</w:t>
      </w:r>
    </w:p>
    <w:p w:rsidR="004F3EFC" w:rsidRPr="00BC0701" w:rsidRDefault="004F3EFC" w:rsidP="004F3EFC">
      <w:pPr>
        <w:rPr>
          <w:rFonts w:cs="Arial"/>
        </w:rPr>
      </w:pPr>
      <w:r w:rsidRPr="00BC0701">
        <w:rPr>
          <w:rFonts w:cs="Arial"/>
        </w:rPr>
        <w:t>In addition, there are a number of smaller contracts to deal with specific waste streams and landfill and treatment provision for the residual waste prior to the RRC contract becoming fully operational. For the purpose of this report it is assumed that the RRC will be fully operational prior to any future savings initiative recommended by the report and therefore the analysis has been based upon the costs of operating this contract.</w:t>
      </w:r>
    </w:p>
    <w:p w:rsidR="004F3EFC" w:rsidRDefault="004F3EFC" w:rsidP="004F3EFC">
      <w:pPr>
        <w:rPr>
          <w:rFonts w:cs="Arial"/>
        </w:rPr>
      </w:pPr>
      <w:r w:rsidRPr="00BC0701">
        <w:rPr>
          <w:rFonts w:cs="Arial"/>
        </w:rPr>
        <w:t xml:space="preserve">The review of these contracts has been undertaken to assess where there are opportunities to achieve savings through negotiation of the terms of the contract with the contractor.  The approach taken has been to examine the contract for savings as set out in Treasury guidance </w:t>
      </w:r>
      <w:r>
        <w:rPr>
          <w:rFonts w:cs="Arial"/>
        </w:rPr>
        <w:t>that</w:t>
      </w:r>
      <w:r w:rsidRPr="00BC0701">
        <w:rPr>
          <w:rFonts w:cs="Arial"/>
        </w:rPr>
        <w:t xml:space="preserve"> has been adapted by Local Partnerships for the Waste Operational Saving Programme.  </w:t>
      </w:r>
      <w:r>
        <w:rPr>
          <w:rFonts w:cs="Arial"/>
        </w:rPr>
        <w:t xml:space="preserve">A traffic light system has also been used to illustrate what the opportunities are for savings. It should be noted that the report does not examine the mechanism by which these savings might be negotiated with the contractor or the risks that this might involve; it simply identifies the potential for savings and the magnitude. </w:t>
      </w:r>
    </w:p>
    <w:p w:rsidR="004F3EFC" w:rsidRPr="00BC0701" w:rsidRDefault="004F3EFC" w:rsidP="004F3EFC">
      <w:pPr>
        <w:rPr>
          <w:rFonts w:cs="Arial"/>
        </w:rPr>
      </w:pPr>
      <w:r w:rsidRPr="00BC0701">
        <w:rPr>
          <w:rFonts w:cs="Arial"/>
        </w:rPr>
        <w:t>The broad subject headings of the savings are listed below; these are examined in detail firstly to determine if there is any potential for savings and secondly to estimate the potential value that may be achieved.</w:t>
      </w:r>
    </w:p>
    <w:p w:rsidR="004F3EFC" w:rsidRPr="00BC0701" w:rsidRDefault="004F3EFC" w:rsidP="008B5D7A">
      <w:pPr>
        <w:numPr>
          <w:ilvl w:val="0"/>
          <w:numId w:val="4"/>
        </w:numPr>
        <w:spacing w:after="0" w:line="276" w:lineRule="auto"/>
        <w:ind w:left="714" w:hanging="357"/>
        <w:rPr>
          <w:rFonts w:cs="Arial"/>
        </w:rPr>
      </w:pPr>
      <w:r w:rsidRPr="00BC0701">
        <w:rPr>
          <w:rFonts w:cs="Arial"/>
        </w:rPr>
        <w:t>Change in law reserve</w:t>
      </w:r>
    </w:p>
    <w:p w:rsidR="004F3EFC" w:rsidRPr="00BC0701" w:rsidRDefault="004F3EFC" w:rsidP="008B5D7A">
      <w:pPr>
        <w:numPr>
          <w:ilvl w:val="0"/>
          <w:numId w:val="4"/>
        </w:numPr>
        <w:spacing w:after="0" w:line="276" w:lineRule="auto"/>
        <w:ind w:left="714" w:hanging="357"/>
        <w:rPr>
          <w:rFonts w:cs="Arial"/>
        </w:rPr>
      </w:pPr>
      <w:r w:rsidRPr="00BC0701">
        <w:rPr>
          <w:rFonts w:cs="Arial"/>
        </w:rPr>
        <w:t>Lifecycle maintenance profiles</w:t>
      </w:r>
    </w:p>
    <w:p w:rsidR="004F3EFC" w:rsidRPr="00BC0701" w:rsidRDefault="004F3EFC" w:rsidP="008B5D7A">
      <w:pPr>
        <w:numPr>
          <w:ilvl w:val="0"/>
          <w:numId w:val="4"/>
        </w:numPr>
        <w:spacing w:after="0" w:line="276" w:lineRule="auto"/>
        <w:ind w:left="714" w:hanging="357"/>
        <w:rPr>
          <w:rFonts w:cs="Arial"/>
        </w:rPr>
      </w:pPr>
      <w:r w:rsidRPr="00BC0701">
        <w:rPr>
          <w:rFonts w:cs="Arial"/>
        </w:rPr>
        <w:t xml:space="preserve">Refinancing </w:t>
      </w:r>
    </w:p>
    <w:p w:rsidR="004F3EFC" w:rsidRPr="00BC0701" w:rsidRDefault="004F3EFC" w:rsidP="008B5D7A">
      <w:pPr>
        <w:numPr>
          <w:ilvl w:val="0"/>
          <w:numId w:val="4"/>
        </w:numPr>
        <w:spacing w:after="0" w:line="276" w:lineRule="auto"/>
        <w:ind w:left="714" w:hanging="357"/>
        <w:rPr>
          <w:rFonts w:cs="Arial"/>
        </w:rPr>
      </w:pPr>
      <w:r w:rsidRPr="00BC0701">
        <w:rPr>
          <w:rFonts w:cs="Arial"/>
        </w:rPr>
        <w:t>Capital contribution</w:t>
      </w:r>
    </w:p>
    <w:p w:rsidR="004F3EFC" w:rsidRPr="00BC0701" w:rsidRDefault="004F3EFC" w:rsidP="008B5D7A">
      <w:pPr>
        <w:numPr>
          <w:ilvl w:val="0"/>
          <w:numId w:val="4"/>
        </w:numPr>
        <w:spacing w:after="0" w:line="276" w:lineRule="auto"/>
        <w:ind w:left="714" w:hanging="357"/>
        <w:rPr>
          <w:rFonts w:cs="Arial"/>
        </w:rPr>
      </w:pPr>
      <w:r w:rsidRPr="00BC0701">
        <w:rPr>
          <w:rFonts w:cs="Arial"/>
        </w:rPr>
        <w:t>Third party income sharing</w:t>
      </w:r>
    </w:p>
    <w:p w:rsidR="004F3EFC" w:rsidRPr="00BC0701" w:rsidRDefault="004F3EFC" w:rsidP="008B5D7A">
      <w:pPr>
        <w:numPr>
          <w:ilvl w:val="0"/>
          <w:numId w:val="4"/>
        </w:numPr>
        <w:spacing w:after="0" w:line="276" w:lineRule="auto"/>
        <w:ind w:left="714" w:hanging="357"/>
        <w:rPr>
          <w:rFonts w:cs="Arial"/>
        </w:rPr>
      </w:pPr>
      <w:r w:rsidRPr="00BC0701">
        <w:rPr>
          <w:rFonts w:cs="Arial"/>
        </w:rPr>
        <w:t>Asset utilisation</w:t>
      </w:r>
    </w:p>
    <w:p w:rsidR="004F3EFC" w:rsidRPr="00BC0701" w:rsidRDefault="004F3EFC" w:rsidP="008B5D7A">
      <w:pPr>
        <w:numPr>
          <w:ilvl w:val="1"/>
          <w:numId w:val="4"/>
        </w:numPr>
        <w:spacing w:after="0" w:line="276" w:lineRule="auto"/>
        <w:rPr>
          <w:rFonts w:cs="Arial"/>
        </w:rPr>
      </w:pPr>
      <w:r w:rsidRPr="00BC0701">
        <w:rPr>
          <w:rFonts w:cs="Arial"/>
        </w:rPr>
        <w:t>Increased through put</w:t>
      </w:r>
    </w:p>
    <w:p w:rsidR="004F3EFC" w:rsidRPr="00BC0701" w:rsidRDefault="004F3EFC" w:rsidP="008B5D7A">
      <w:pPr>
        <w:numPr>
          <w:ilvl w:val="1"/>
          <w:numId w:val="4"/>
        </w:numPr>
        <w:spacing w:after="0" w:line="276" w:lineRule="auto"/>
        <w:rPr>
          <w:rFonts w:cs="Arial"/>
        </w:rPr>
      </w:pPr>
      <w:r w:rsidRPr="00BC0701">
        <w:rPr>
          <w:rFonts w:cs="Arial"/>
        </w:rPr>
        <w:t>Reduced service provision</w:t>
      </w:r>
    </w:p>
    <w:p w:rsidR="004F3EFC" w:rsidRPr="00BC0701" w:rsidRDefault="004F3EFC" w:rsidP="008B5D7A">
      <w:pPr>
        <w:numPr>
          <w:ilvl w:val="1"/>
          <w:numId w:val="4"/>
        </w:numPr>
        <w:spacing w:after="0" w:line="276" w:lineRule="auto"/>
        <w:rPr>
          <w:rFonts w:cs="Arial"/>
        </w:rPr>
      </w:pPr>
      <w:r w:rsidRPr="00BC0701">
        <w:rPr>
          <w:rFonts w:cs="Arial"/>
        </w:rPr>
        <w:t>Extended range of materials captured</w:t>
      </w:r>
    </w:p>
    <w:p w:rsidR="004F3EFC" w:rsidRPr="00BC0701" w:rsidRDefault="004F3EFC" w:rsidP="008B5D7A">
      <w:pPr>
        <w:numPr>
          <w:ilvl w:val="0"/>
          <w:numId w:val="4"/>
        </w:numPr>
        <w:spacing w:after="0" w:line="276" w:lineRule="auto"/>
        <w:ind w:left="714" w:hanging="357"/>
        <w:rPr>
          <w:rFonts w:cs="Arial"/>
        </w:rPr>
      </w:pPr>
      <w:r w:rsidRPr="00BC0701">
        <w:rPr>
          <w:rFonts w:cs="Arial"/>
        </w:rPr>
        <w:t>Increased diversion</w:t>
      </w:r>
    </w:p>
    <w:p w:rsidR="004F3EFC" w:rsidRPr="00BC0701" w:rsidRDefault="004F3EFC" w:rsidP="008B5D7A">
      <w:pPr>
        <w:numPr>
          <w:ilvl w:val="0"/>
          <w:numId w:val="4"/>
        </w:numPr>
        <w:spacing w:after="0" w:line="276" w:lineRule="auto"/>
        <w:ind w:left="714" w:hanging="357"/>
        <w:rPr>
          <w:rFonts w:cs="Arial"/>
        </w:rPr>
      </w:pPr>
      <w:r w:rsidRPr="00BC0701">
        <w:rPr>
          <w:rFonts w:cs="Arial"/>
        </w:rPr>
        <w:t>Performance management framework</w:t>
      </w:r>
    </w:p>
    <w:p w:rsidR="004F3EFC" w:rsidRPr="00BC0701" w:rsidRDefault="004F3EFC" w:rsidP="008B5D7A">
      <w:pPr>
        <w:numPr>
          <w:ilvl w:val="0"/>
          <w:numId w:val="4"/>
        </w:numPr>
        <w:spacing w:after="0" w:line="276" w:lineRule="auto"/>
        <w:ind w:left="714" w:hanging="357"/>
        <w:rPr>
          <w:rFonts w:cs="Arial"/>
        </w:rPr>
      </w:pPr>
      <w:r w:rsidRPr="00BC0701">
        <w:rPr>
          <w:rFonts w:cs="Arial"/>
        </w:rPr>
        <w:t>Insurance provisions</w:t>
      </w:r>
    </w:p>
    <w:p w:rsidR="004F3EFC" w:rsidRPr="00BC0701" w:rsidRDefault="004F3EFC" w:rsidP="004F3EFC">
      <w:pPr>
        <w:rPr>
          <w:rFonts w:cs="Arial"/>
        </w:rPr>
      </w:pPr>
    </w:p>
    <w:p w:rsidR="004F3EFC" w:rsidRPr="00BC0701" w:rsidRDefault="004F3EFC" w:rsidP="004F3EFC">
      <w:pPr>
        <w:rPr>
          <w:rFonts w:cs="Arial"/>
        </w:rPr>
      </w:pPr>
      <w:r>
        <w:rPr>
          <w:rFonts w:cs="Arial"/>
        </w:rPr>
        <w:t>In addition</w:t>
      </w:r>
      <w:r w:rsidRPr="00BC0701">
        <w:rPr>
          <w:rFonts w:cs="Arial"/>
        </w:rPr>
        <w:t xml:space="preserve"> to these subjects, the overall rates agreed in the contract are benchmarked against similar contract rates using information available to Local Partnerships to assess whether there is any potential to approach the contractor regarding renegotiation these rates.</w:t>
      </w:r>
    </w:p>
    <w:p w:rsidR="004F3EFC" w:rsidRPr="00E559CA" w:rsidRDefault="004F3EFC" w:rsidP="00E559CA">
      <w:pPr>
        <w:pStyle w:val="Heading1"/>
      </w:pPr>
      <w:bookmarkStart w:id="5" w:name="_Toc345073626"/>
      <w:bookmarkStart w:id="6" w:name="_Toc345073961"/>
      <w:r w:rsidRPr="00E559CA">
        <w:lastRenderedPageBreak/>
        <w:t>Waste management and recycling contract</w:t>
      </w:r>
      <w:bookmarkEnd w:id="5"/>
      <w:bookmarkEnd w:id="6"/>
      <w:r w:rsidRPr="00E559CA">
        <w:t xml:space="preserve"> </w:t>
      </w:r>
    </w:p>
    <w:p w:rsidR="004F3EFC" w:rsidRPr="00BC0701" w:rsidRDefault="004F3EFC" w:rsidP="004F3EFC">
      <w:pPr>
        <w:rPr>
          <w:rFonts w:cs="Arial"/>
        </w:rPr>
      </w:pPr>
      <w:r w:rsidRPr="00BC0701">
        <w:rPr>
          <w:rFonts w:cs="Arial"/>
        </w:rPr>
        <w:t>The waste management and recycling contract includes the following operations</w:t>
      </w:r>
      <w:proofErr w:type="gramStart"/>
      <w:r w:rsidRPr="00BC0701">
        <w:rPr>
          <w:rFonts w:cs="Arial"/>
        </w:rPr>
        <w:t>;</w:t>
      </w:r>
      <w:proofErr w:type="gramEnd"/>
    </w:p>
    <w:p w:rsidR="004F3EFC" w:rsidRPr="00BC0701" w:rsidRDefault="004F3EFC" w:rsidP="008B5D7A">
      <w:pPr>
        <w:numPr>
          <w:ilvl w:val="0"/>
          <w:numId w:val="9"/>
        </w:numPr>
        <w:spacing w:after="200" w:line="276" w:lineRule="auto"/>
        <w:rPr>
          <w:rFonts w:cs="Arial"/>
        </w:rPr>
      </w:pPr>
      <w:r w:rsidRPr="00BC0701">
        <w:rPr>
          <w:rFonts w:cs="Arial"/>
        </w:rPr>
        <w:t>The household waste recycling centres (HWRC)</w:t>
      </w:r>
    </w:p>
    <w:p w:rsidR="004F3EFC" w:rsidRPr="00BC0701" w:rsidRDefault="004F3EFC" w:rsidP="008B5D7A">
      <w:pPr>
        <w:numPr>
          <w:ilvl w:val="0"/>
          <w:numId w:val="9"/>
        </w:numPr>
        <w:spacing w:after="200" w:line="276" w:lineRule="auto"/>
        <w:rPr>
          <w:rFonts w:cs="Arial"/>
        </w:rPr>
      </w:pPr>
      <w:r w:rsidRPr="00BC0701">
        <w:rPr>
          <w:rFonts w:cs="Arial"/>
        </w:rPr>
        <w:t>The treatment of the dry recyclates collected at the kerb side at the materials recycling facility (MRF)</w:t>
      </w:r>
    </w:p>
    <w:p w:rsidR="004F3EFC" w:rsidRPr="00BC0701" w:rsidRDefault="004F3EFC" w:rsidP="008B5D7A">
      <w:pPr>
        <w:numPr>
          <w:ilvl w:val="0"/>
          <w:numId w:val="9"/>
        </w:numPr>
        <w:spacing w:after="200" w:line="276" w:lineRule="auto"/>
        <w:rPr>
          <w:rFonts w:cs="Arial"/>
        </w:rPr>
      </w:pPr>
      <w:r w:rsidRPr="00BC0701">
        <w:rPr>
          <w:rFonts w:cs="Arial"/>
        </w:rPr>
        <w:t xml:space="preserve"> The transfer stations (TS). </w:t>
      </w:r>
    </w:p>
    <w:p w:rsidR="004F3EFC" w:rsidRPr="00BC0701" w:rsidRDefault="004F3EFC" w:rsidP="004F3EFC">
      <w:pPr>
        <w:ind w:left="43"/>
        <w:rPr>
          <w:rFonts w:cs="Arial"/>
        </w:rPr>
      </w:pPr>
      <w:r w:rsidRPr="00BC0701">
        <w:rPr>
          <w:rFonts w:cs="Arial"/>
        </w:rPr>
        <w:t>Green and food waste is sent to third party treatment facilities, the former to open windrow composting (OWC) and the latter to vessel composting (IVC)</w:t>
      </w:r>
    </w:p>
    <w:p w:rsidR="004F3EFC" w:rsidRPr="00BC0701" w:rsidRDefault="004F3EFC" w:rsidP="004F3EFC">
      <w:pPr>
        <w:ind w:left="43"/>
        <w:rPr>
          <w:rFonts w:cs="Arial"/>
        </w:rPr>
      </w:pPr>
      <w:r w:rsidRPr="00BC0701">
        <w:rPr>
          <w:rFonts w:cs="Arial"/>
        </w:rPr>
        <w:t>Residual waste is not treated in the contract but transferred by the contractor either the RRC or where this is not possible landfill.</w:t>
      </w:r>
    </w:p>
    <w:p w:rsidR="004F3EFC" w:rsidRPr="00E559CA" w:rsidRDefault="004F3EFC" w:rsidP="00E559CA">
      <w:pPr>
        <w:pStyle w:val="Heading2"/>
      </w:pPr>
      <w:bookmarkStart w:id="7" w:name="_Toc345073627"/>
      <w:bookmarkStart w:id="8" w:name="_Toc345073962"/>
      <w:r w:rsidRPr="00E559CA">
        <w:t>Examination of key saving target topics</w:t>
      </w:r>
      <w:bookmarkEnd w:id="7"/>
      <w:bookmarkEnd w:id="8"/>
    </w:p>
    <w:p w:rsidR="004F3EFC" w:rsidRPr="00E559CA" w:rsidRDefault="004F3EFC" w:rsidP="00E559CA">
      <w:pPr>
        <w:pStyle w:val="Heading3"/>
      </w:pPr>
      <w:bookmarkStart w:id="9" w:name="_Toc345073963"/>
      <w:r w:rsidRPr="00E559CA">
        <w:t>Change in law reserve</w:t>
      </w:r>
      <w:bookmarkEnd w:id="9"/>
    </w:p>
    <w:p w:rsidR="004F3EFC" w:rsidRPr="00BC0701" w:rsidRDefault="004F3EFC" w:rsidP="004F3EFC">
      <w:pPr>
        <w:rPr>
          <w:rFonts w:cs="Arial"/>
        </w:rPr>
      </w:pPr>
      <w:r w:rsidRPr="00BC0701">
        <w:rPr>
          <w:rFonts w:cs="Arial"/>
        </w:rPr>
        <w:t xml:space="preserve">The change in law (CiL) provisions </w:t>
      </w:r>
      <w:r>
        <w:rPr>
          <w:rFonts w:cs="Arial"/>
        </w:rPr>
        <w:t xml:space="preserve">in the contract </w:t>
      </w:r>
      <w:r w:rsidRPr="00BC0701">
        <w:rPr>
          <w:rFonts w:cs="Arial"/>
        </w:rPr>
        <w:t>does not contain a specific CiL reserve fund and therefore there is no scope in this contract for the Authority recover this fund and make a saving.</w:t>
      </w:r>
    </w:p>
    <w:p w:rsidR="004F3EFC" w:rsidRPr="00BC0701" w:rsidRDefault="004F3EFC" w:rsidP="004F3EFC">
      <w:pPr>
        <w:pStyle w:val="Heading3"/>
      </w:pPr>
      <w:bookmarkStart w:id="10" w:name="_Toc345073964"/>
      <w:r w:rsidRPr="00BC0701">
        <w:t>Life cycle profile</w:t>
      </w:r>
      <w:bookmarkEnd w:id="10"/>
      <w:r w:rsidRPr="00BC0701">
        <w:t xml:space="preserve"> </w:t>
      </w:r>
    </w:p>
    <w:p w:rsidR="004F3EFC" w:rsidRPr="00BC0701" w:rsidRDefault="004F3EFC" w:rsidP="004F3EFC">
      <w:pPr>
        <w:rPr>
          <w:rFonts w:cs="Arial"/>
        </w:rPr>
      </w:pPr>
      <w:r w:rsidRPr="00BC0701">
        <w:rPr>
          <w:rFonts w:cs="Arial"/>
        </w:rPr>
        <w:t xml:space="preserve">Many projects suffer extra interest payments by having lifecycle expenditure that is highly variable from year to year.  Typical project financed funding </w:t>
      </w:r>
      <w:r>
        <w:rPr>
          <w:rFonts w:cs="Arial"/>
        </w:rPr>
        <w:t>projects</w:t>
      </w:r>
      <w:r w:rsidRPr="00BC0701">
        <w:rPr>
          <w:rFonts w:cs="Arial"/>
        </w:rPr>
        <w:t xml:space="preserve"> link the repayment terms so the Debt Service Cover Ratio (DSCR) remains above 1 i.e. there is always sufficient funding in the project to pay the bank.  If the capital expenditure varies between years, this can lead to the DSCR falling below 1 in some years.  In </w:t>
      </w:r>
      <w:proofErr w:type="gramStart"/>
      <w:r w:rsidRPr="00BC0701">
        <w:rPr>
          <w:rFonts w:cs="Arial"/>
        </w:rPr>
        <w:t>project financed</w:t>
      </w:r>
      <w:proofErr w:type="gramEnd"/>
      <w:r w:rsidRPr="00BC0701">
        <w:rPr>
          <w:rFonts w:cs="Arial"/>
        </w:rPr>
        <w:t xml:space="preserve"> deals this would result in a higher funding cost to reflect the risk of non-payment of the debt in that year.  Examination of the financial model shows that the DSCR does fall below unity in 2019, 2021 and 2022. Traditionally this would be avoided by smoothing the lifecycle expenditure so that large cost elements are split over financial years to reduce the exposure to the project.  This project is funded corporately and as such should be subject to the same strictures but there does not appear to have enhanced funding terms to reflect this and is probably representative of the added flexibility that having Veolia fund the capital</w:t>
      </w:r>
      <w:r>
        <w:rPr>
          <w:rFonts w:cs="Arial"/>
        </w:rPr>
        <w:t xml:space="preserve"> corporately</w:t>
      </w:r>
      <w:r w:rsidRPr="00BC0701">
        <w:rPr>
          <w:rFonts w:cs="Arial"/>
        </w:rPr>
        <w:t>.</w:t>
      </w:r>
    </w:p>
    <w:p w:rsidR="004F3EFC" w:rsidRPr="00BC0701" w:rsidRDefault="004F3EFC" w:rsidP="004F3EFC">
      <w:pPr>
        <w:rPr>
          <w:rFonts w:cs="Arial"/>
        </w:rPr>
      </w:pPr>
      <w:r w:rsidRPr="00BC0701">
        <w:rPr>
          <w:rFonts w:cs="Arial"/>
        </w:rPr>
        <w:t>Thus whilst there may be some value in re</w:t>
      </w:r>
      <w:r>
        <w:rPr>
          <w:rFonts w:cs="Arial"/>
        </w:rPr>
        <w:t>-</w:t>
      </w:r>
      <w:r w:rsidRPr="00BC0701">
        <w:rPr>
          <w:rFonts w:cs="Arial"/>
        </w:rPr>
        <w:t xml:space="preserve">profiling the capital expenditure, given that the loan </w:t>
      </w:r>
      <w:r>
        <w:rPr>
          <w:rFonts w:cs="Arial"/>
        </w:rPr>
        <w:t>only</w:t>
      </w:r>
      <w:r w:rsidRPr="00BC0701">
        <w:rPr>
          <w:rFonts w:cs="Arial"/>
        </w:rPr>
        <w:t xml:space="preserve"> runs </w:t>
      </w:r>
      <w:r>
        <w:rPr>
          <w:rFonts w:cs="Arial"/>
        </w:rPr>
        <w:t>until</w:t>
      </w:r>
      <w:r w:rsidRPr="00BC0701">
        <w:rPr>
          <w:rFonts w:cs="Arial"/>
        </w:rPr>
        <w:t xml:space="preserve"> 2023 and </w:t>
      </w:r>
      <w:r>
        <w:rPr>
          <w:rFonts w:cs="Arial"/>
        </w:rPr>
        <w:t>its</w:t>
      </w:r>
      <w:r w:rsidRPr="00BC0701">
        <w:rPr>
          <w:rFonts w:cs="Arial"/>
        </w:rPr>
        <w:t xml:space="preserve"> relatively modest size will limit the ability to make savings from managing the DSCR at this stage of the project.</w:t>
      </w:r>
    </w:p>
    <w:p w:rsidR="004F3EFC" w:rsidRPr="00BC0701" w:rsidRDefault="004F3EFC" w:rsidP="004F3EFC">
      <w:pPr>
        <w:pStyle w:val="Heading3"/>
      </w:pPr>
      <w:bookmarkStart w:id="11" w:name="_Toc345073965"/>
      <w:r w:rsidRPr="00BC0701">
        <w:t>Refinancing/capital injection</w:t>
      </w:r>
      <w:bookmarkEnd w:id="11"/>
    </w:p>
    <w:p w:rsidR="004F3EFC" w:rsidRPr="00BC0701" w:rsidRDefault="004F3EFC" w:rsidP="004F3EFC">
      <w:pPr>
        <w:rPr>
          <w:rFonts w:cs="Arial"/>
        </w:rPr>
      </w:pPr>
      <w:r w:rsidRPr="00BC0701">
        <w:rPr>
          <w:rFonts w:cs="Arial"/>
        </w:rPr>
        <w:t>The outstanding loan in the model from 2017 is £16.6m.  This is a</w:t>
      </w:r>
      <w:r>
        <w:rPr>
          <w:rFonts w:cs="Arial"/>
        </w:rPr>
        <w:t xml:space="preserve"> low amount in terms of project finance</w:t>
      </w:r>
      <w:r w:rsidRPr="00BC0701">
        <w:rPr>
          <w:rFonts w:cs="Arial"/>
        </w:rPr>
        <w:t xml:space="preserve"> and it is unlikely that alternative cheaper funds would be available in the market. Once again as the project is corporately funded this makes this type of approach inherently difficult.</w:t>
      </w:r>
    </w:p>
    <w:p w:rsidR="004F3EFC" w:rsidRPr="00BC0701" w:rsidRDefault="004F3EFC" w:rsidP="004F3EFC">
      <w:pPr>
        <w:rPr>
          <w:rFonts w:cs="Arial"/>
        </w:rPr>
      </w:pPr>
      <w:r w:rsidRPr="00BC0701">
        <w:rPr>
          <w:rFonts w:cs="Arial"/>
        </w:rPr>
        <w:t>An alternative option may be to use funds the Authority can raise through the Public Loans Works Boards (PLWB) (or through reserves) to pay off this debt.  The current PWLB rate is 1.68%</w:t>
      </w:r>
      <w:r w:rsidRPr="00BC0701">
        <w:rPr>
          <w:rStyle w:val="FootnoteReference"/>
          <w:rFonts w:cs="Arial"/>
        </w:rPr>
        <w:footnoteReference w:id="1"/>
      </w:r>
      <w:proofErr w:type="gramStart"/>
      <w:r w:rsidRPr="00BC0701">
        <w:rPr>
          <w:rFonts w:cs="Arial"/>
        </w:rPr>
        <w:t xml:space="preserve"> which</w:t>
      </w:r>
      <w:proofErr w:type="gramEnd"/>
      <w:r w:rsidRPr="00BC0701">
        <w:rPr>
          <w:rFonts w:cs="Arial"/>
        </w:rPr>
        <w:t xml:space="preserve"> is a much lower interest rate than the 6.5% charged within the contract.  The remaining interest charge under the contract at 6.0% amounts to £4.595m. If this was replaced by funds from the PWLB at 1.68% the amount of interest would reduce to £1m giving a potential saving of £3.6m.  However, the contractor would be expecting a return on this investment and the financial model notes a 1% margin </w:t>
      </w:r>
      <w:r w:rsidRPr="00BC0701">
        <w:rPr>
          <w:rFonts w:cs="Arial"/>
        </w:rPr>
        <w:lastRenderedPageBreak/>
        <w:t>rate (which is low), this represent an amount of £600k which the contractor would, as a minimum, expect to be paid for replacement of their capital in the project.  In similar projects the market rate for the margin is typically 2.5-3.5% and thus this 1% may underestimate the anticipated return and reduce the potential saving to circa £1.5-2m. The fact is that the contract does not provide a formal mechanism for capital contributions so the issue of margin and whether the contractor could be induced to enter into such an agreement would be subject to negotiation. Experience in other projects suggests that Veolia are not minded t</w:t>
      </w:r>
      <w:r>
        <w:rPr>
          <w:rFonts w:cs="Arial"/>
        </w:rPr>
        <w:t>o agree to such changes unless</w:t>
      </w:r>
      <w:r w:rsidRPr="00BC0701">
        <w:rPr>
          <w:rFonts w:cs="Arial"/>
        </w:rPr>
        <w:t xml:space="preserve"> there is a lever elsewhere in the contract that can be used to persuade them. However, this is something that might be tested.</w:t>
      </w:r>
    </w:p>
    <w:p w:rsidR="004F3EFC" w:rsidRPr="00BC0701" w:rsidRDefault="004F3EFC" w:rsidP="008B5D7A">
      <w:pPr>
        <w:pStyle w:val="Heading4"/>
        <w:keepLines w:val="0"/>
        <w:numPr>
          <w:ilvl w:val="3"/>
          <w:numId w:val="6"/>
        </w:numPr>
        <w:spacing w:after="60" w:line="276" w:lineRule="auto"/>
        <w:rPr>
          <w:rFonts w:cs="Arial"/>
        </w:rPr>
      </w:pPr>
      <w:r w:rsidRPr="00BC0701">
        <w:rPr>
          <w:rFonts w:cs="Arial"/>
        </w:rPr>
        <w:t>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946"/>
        <w:gridCol w:w="2018"/>
        <w:gridCol w:w="1647"/>
        <w:gridCol w:w="1647"/>
      </w:tblGrid>
      <w:tr w:rsidR="004F3EFC" w:rsidRPr="00BC0701" w:rsidTr="004F3EFC">
        <w:tc>
          <w:tcPr>
            <w:tcW w:w="1984" w:type="dxa"/>
            <w:shd w:val="pct20" w:color="auto" w:fill="auto"/>
          </w:tcPr>
          <w:p w:rsidR="004F3EFC" w:rsidRPr="00BC0701" w:rsidRDefault="004F3EFC" w:rsidP="004F3EFC">
            <w:pPr>
              <w:jc w:val="both"/>
              <w:rPr>
                <w:rFonts w:eastAsia="MS Mincho" w:cs="Arial"/>
              </w:rPr>
            </w:pPr>
            <w:r w:rsidRPr="00BC0701">
              <w:rPr>
                <w:rFonts w:eastAsia="MS Mincho" w:cs="Arial"/>
              </w:rPr>
              <w:t>Saving opportunity descriptor</w:t>
            </w:r>
          </w:p>
        </w:tc>
        <w:tc>
          <w:tcPr>
            <w:tcW w:w="1946" w:type="dxa"/>
            <w:shd w:val="pct20" w:color="auto" w:fill="auto"/>
          </w:tcPr>
          <w:p w:rsidR="004F3EFC" w:rsidRPr="00BC0701" w:rsidRDefault="004F3EFC" w:rsidP="004F3EFC">
            <w:pPr>
              <w:jc w:val="both"/>
              <w:rPr>
                <w:rFonts w:eastAsia="MS Mincho" w:cs="Arial"/>
              </w:rPr>
            </w:pPr>
            <w:r w:rsidRPr="00BC0701">
              <w:rPr>
                <w:rFonts w:eastAsia="MS Mincho" w:cs="Arial"/>
              </w:rPr>
              <w:t>Periodicity</w:t>
            </w:r>
          </w:p>
        </w:tc>
        <w:tc>
          <w:tcPr>
            <w:tcW w:w="2018" w:type="dxa"/>
            <w:shd w:val="pct20" w:color="auto" w:fill="auto"/>
          </w:tcPr>
          <w:p w:rsidR="004F3EFC" w:rsidRPr="00BC0701" w:rsidRDefault="004F3EFC" w:rsidP="004F3EFC">
            <w:pPr>
              <w:jc w:val="both"/>
              <w:rPr>
                <w:rFonts w:eastAsia="MS Mincho" w:cs="Arial"/>
              </w:rPr>
            </w:pPr>
            <w:r w:rsidRPr="00BC0701">
              <w:rPr>
                <w:rFonts w:eastAsia="MS Mincho" w:cs="Arial"/>
              </w:rPr>
              <w:t>Invest to Save Requirement (2015/16 prices)</w:t>
            </w:r>
          </w:p>
        </w:tc>
        <w:tc>
          <w:tcPr>
            <w:tcW w:w="1647" w:type="dxa"/>
            <w:shd w:val="pct20" w:color="auto" w:fill="auto"/>
          </w:tcPr>
          <w:p w:rsidR="004F3EFC" w:rsidRPr="00BC0701" w:rsidRDefault="004F3EFC" w:rsidP="004F3EFC">
            <w:pPr>
              <w:jc w:val="both"/>
              <w:rPr>
                <w:rFonts w:eastAsia="MS Mincho" w:cs="Arial"/>
              </w:rPr>
            </w:pPr>
            <w:r w:rsidRPr="00BC0701">
              <w:rPr>
                <w:rFonts w:eastAsia="MS Mincho" w:cs="Arial"/>
              </w:rPr>
              <w:t>Opex Saving (2015/16 prices)</w:t>
            </w:r>
          </w:p>
        </w:tc>
        <w:tc>
          <w:tcPr>
            <w:tcW w:w="1647" w:type="dxa"/>
            <w:shd w:val="pct20" w:color="auto" w:fill="auto"/>
          </w:tcPr>
          <w:p w:rsidR="004F3EFC" w:rsidRPr="00BC0701" w:rsidRDefault="004F3EFC" w:rsidP="004F3EFC">
            <w:pPr>
              <w:jc w:val="both"/>
              <w:rPr>
                <w:rFonts w:eastAsia="MS Mincho" w:cs="Arial"/>
              </w:rPr>
            </w:pPr>
            <w:r w:rsidRPr="00BC0701">
              <w:rPr>
                <w:rFonts w:eastAsia="MS Mincho" w:cs="Arial"/>
              </w:rPr>
              <w:t>Capex Saving (2015/16 prices)</w:t>
            </w:r>
          </w:p>
        </w:tc>
      </w:tr>
      <w:tr w:rsidR="004F3EFC" w:rsidRPr="00BC0701" w:rsidTr="004F3EFC">
        <w:tc>
          <w:tcPr>
            <w:tcW w:w="1984" w:type="dxa"/>
            <w:shd w:val="clear" w:color="auto" w:fill="auto"/>
          </w:tcPr>
          <w:p w:rsidR="004F3EFC" w:rsidRPr="00BC0701" w:rsidRDefault="004F3EFC" w:rsidP="004F3EFC">
            <w:pPr>
              <w:jc w:val="both"/>
              <w:rPr>
                <w:rFonts w:eastAsia="MS Mincho" w:cs="Arial"/>
              </w:rPr>
            </w:pPr>
            <w:r w:rsidRPr="00BC0701">
              <w:rPr>
                <w:rFonts w:eastAsia="MS Mincho" w:cs="Arial"/>
              </w:rPr>
              <w:t>Capital contribution</w:t>
            </w:r>
          </w:p>
        </w:tc>
        <w:tc>
          <w:tcPr>
            <w:tcW w:w="1946" w:type="dxa"/>
            <w:shd w:val="clear" w:color="auto" w:fill="auto"/>
          </w:tcPr>
          <w:p w:rsidR="004F3EFC" w:rsidRPr="00BC0701" w:rsidRDefault="004F3EFC" w:rsidP="004F3EFC">
            <w:pPr>
              <w:jc w:val="both"/>
              <w:rPr>
                <w:rFonts w:eastAsia="MS Mincho" w:cs="Arial"/>
              </w:rPr>
            </w:pPr>
            <w:r w:rsidRPr="00BC0701">
              <w:rPr>
                <w:rFonts w:eastAsia="MS Mincho" w:cs="Arial"/>
              </w:rPr>
              <w:t>One off</w:t>
            </w:r>
          </w:p>
        </w:tc>
        <w:tc>
          <w:tcPr>
            <w:tcW w:w="2018" w:type="dxa"/>
            <w:shd w:val="clear" w:color="auto" w:fill="auto"/>
          </w:tcPr>
          <w:p w:rsidR="004F3EFC" w:rsidRPr="00BC0701" w:rsidRDefault="004F3EFC" w:rsidP="004F3EFC">
            <w:pPr>
              <w:jc w:val="both"/>
              <w:rPr>
                <w:rFonts w:eastAsia="MS Mincho" w:cs="Arial"/>
              </w:rPr>
            </w:pPr>
            <w:r w:rsidRPr="00BC0701">
              <w:rPr>
                <w:rFonts w:eastAsia="MS Mincho" w:cs="Arial"/>
              </w:rPr>
              <w:t>£16.6m</w:t>
            </w:r>
          </w:p>
        </w:tc>
        <w:tc>
          <w:tcPr>
            <w:tcW w:w="1647" w:type="dxa"/>
            <w:shd w:val="clear" w:color="auto" w:fill="auto"/>
          </w:tcPr>
          <w:p w:rsidR="004F3EFC" w:rsidRPr="00BC0701" w:rsidRDefault="004F3EFC" w:rsidP="004F3EFC">
            <w:pPr>
              <w:jc w:val="both"/>
              <w:rPr>
                <w:rFonts w:eastAsia="MS Mincho" w:cs="Arial"/>
              </w:rPr>
            </w:pPr>
          </w:p>
        </w:tc>
        <w:tc>
          <w:tcPr>
            <w:tcW w:w="1647" w:type="dxa"/>
            <w:shd w:val="clear" w:color="auto" w:fill="auto"/>
          </w:tcPr>
          <w:p w:rsidR="004F3EFC" w:rsidRPr="00BC0701" w:rsidRDefault="004F3EFC" w:rsidP="004F3EFC">
            <w:pPr>
              <w:jc w:val="both"/>
              <w:rPr>
                <w:rFonts w:eastAsia="MS Mincho" w:cs="Arial"/>
              </w:rPr>
            </w:pPr>
            <w:r w:rsidRPr="00BC0701">
              <w:rPr>
                <w:rFonts w:eastAsia="MS Mincho" w:cs="Arial"/>
              </w:rPr>
              <w:t>Nil to £2m</w:t>
            </w:r>
          </w:p>
        </w:tc>
      </w:tr>
    </w:tbl>
    <w:p w:rsidR="004F3EFC" w:rsidRPr="00BC0701" w:rsidRDefault="004F3EFC" w:rsidP="004F3EFC">
      <w:pPr>
        <w:rPr>
          <w:rFonts w:cs="Arial"/>
        </w:rPr>
      </w:pPr>
    </w:p>
    <w:p w:rsidR="004F3EFC" w:rsidRPr="00BC0701" w:rsidRDefault="004F3EFC" w:rsidP="004F3EFC">
      <w:pPr>
        <w:rPr>
          <w:rFonts w:cs="Arial"/>
          <w:b/>
        </w:rPr>
      </w:pPr>
      <w:r w:rsidRPr="00BC0701">
        <w:rPr>
          <w:rFonts w:cs="Arial"/>
          <w:b/>
          <w:noProof/>
          <w:lang w:val="en-US" w:eastAsia="en-US"/>
        </w:rPr>
        <w:drawing>
          <wp:anchor distT="0" distB="0" distL="114300" distR="114300" simplePos="0" relativeHeight="251666432" behindDoc="1" locked="0" layoutInCell="1" allowOverlap="1" wp14:anchorId="392304C5" wp14:editId="0F7AD163">
            <wp:simplePos x="0" y="0"/>
            <wp:positionH relativeFrom="column">
              <wp:posOffset>5124450</wp:posOffset>
            </wp:positionH>
            <wp:positionV relativeFrom="paragraph">
              <wp:posOffset>186690</wp:posOffset>
            </wp:positionV>
            <wp:extent cx="770255" cy="1261745"/>
            <wp:effectExtent l="0" t="0" r="0" b="8255"/>
            <wp:wrapTight wrapText="bothSides">
              <wp:wrapPolygon edited="0">
                <wp:start x="712" y="0"/>
                <wp:lineTo x="0" y="3913"/>
                <wp:lineTo x="0" y="21306"/>
                <wp:lineTo x="20656" y="21306"/>
                <wp:lineTo x="20656" y="3913"/>
                <wp:lineTo x="19232" y="0"/>
                <wp:lineTo x="712" y="0"/>
              </wp:wrapPolygon>
            </wp:wrapTight>
            <wp:docPr id="1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0255" cy="1261745"/>
                    </a:xfrm>
                    <a:prstGeom prst="rect">
                      <a:avLst/>
                    </a:prstGeom>
                    <a:noFill/>
                  </pic:spPr>
                </pic:pic>
              </a:graphicData>
            </a:graphic>
            <wp14:sizeRelH relativeFrom="page">
              <wp14:pctWidth>0</wp14:pctWidth>
            </wp14:sizeRelH>
            <wp14:sizeRelV relativeFrom="page">
              <wp14:pctHeight>0</wp14:pctHeight>
            </wp14:sizeRelV>
          </wp:anchor>
        </w:drawing>
      </w:r>
      <w:r w:rsidRPr="00BC0701">
        <w:rPr>
          <w:rFonts w:cs="Arial"/>
          <w:b/>
        </w:rPr>
        <w:t>Description</w:t>
      </w:r>
    </w:p>
    <w:p w:rsidR="004F3EFC" w:rsidRPr="00BC0701" w:rsidRDefault="004F3EFC" w:rsidP="004F3EFC">
      <w:pPr>
        <w:rPr>
          <w:rFonts w:cs="Arial"/>
        </w:rPr>
      </w:pPr>
      <w:r w:rsidRPr="00BC0701">
        <w:rPr>
          <w:rFonts w:cs="Arial"/>
        </w:rPr>
        <w:t>Paying off of capital in a project and providing this via a loan from the PWLB or from authority reserves.</w:t>
      </w:r>
    </w:p>
    <w:p w:rsidR="004F3EFC" w:rsidRPr="00BC0701" w:rsidRDefault="004F3EFC" w:rsidP="004F3EFC">
      <w:pPr>
        <w:rPr>
          <w:rFonts w:cs="Arial"/>
          <w:b/>
        </w:rPr>
      </w:pPr>
      <w:r w:rsidRPr="00BC0701">
        <w:rPr>
          <w:rFonts w:cs="Arial"/>
          <w:b/>
        </w:rPr>
        <w:t>Status</w:t>
      </w:r>
    </w:p>
    <w:p w:rsidR="004F3EFC" w:rsidRPr="00BC0701" w:rsidRDefault="004F3EFC" w:rsidP="004F3EFC">
      <w:pPr>
        <w:rPr>
          <w:rFonts w:cs="Arial"/>
        </w:rPr>
      </w:pPr>
      <w:r w:rsidRPr="00BC0701">
        <w:rPr>
          <w:rFonts w:cs="Arial"/>
        </w:rPr>
        <w:t>Requires discussion with contractor to determine if there is any appetite for taking this forward as there is no right in the contract to progress this.</w:t>
      </w:r>
    </w:p>
    <w:p w:rsidR="004F3EFC" w:rsidRPr="00BC0701" w:rsidRDefault="004F3EFC" w:rsidP="004F3EFC">
      <w:pPr>
        <w:rPr>
          <w:rFonts w:cs="Arial"/>
          <w:b/>
        </w:rPr>
      </w:pPr>
      <w:r w:rsidRPr="00BC0701">
        <w:rPr>
          <w:rFonts w:cs="Arial"/>
          <w:b/>
        </w:rPr>
        <w:t>Assumptions</w:t>
      </w:r>
    </w:p>
    <w:p w:rsidR="004F3EFC" w:rsidRPr="00BC0701" w:rsidRDefault="004F3EFC" w:rsidP="004F3EFC">
      <w:pPr>
        <w:rPr>
          <w:rFonts w:cs="Arial"/>
        </w:rPr>
      </w:pPr>
      <w:r w:rsidRPr="00BC0701">
        <w:rPr>
          <w:rFonts w:cs="Arial"/>
        </w:rPr>
        <w:t xml:space="preserve">This is a corporately financed project and the marginal rate in the model is below market rates at 1% and implies that further margin is taken elsewhere in the structure.  Assume that Veolia would require to be recompensed at 3.5% in line with market norms. </w:t>
      </w:r>
    </w:p>
    <w:p w:rsidR="004F3EFC" w:rsidRPr="00BC0701" w:rsidRDefault="004F3EFC" w:rsidP="004F3EFC">
      <w:pPr>
        <w:rPr>
          <w:rFonts w:cs="Arial"/>
          <w:b/>
        </w:rPr>
      </w:pPr>
      <w:r w:rsidRPr="00BC0701">
        <w:rPr>
          <w:rFonts w:cs="Arial"/>
          <w:b/>
        </w:rPr>
        <w:t>Key Considerations</w:t>
      </w:r>
    </w:p>
    <w:p w:rsidR="004F3EFC" w:rsidRPr="00BC0701" w:rsidRDefault="004F3EFC" w:rsidP="004F3EFC">
      <w:pPr>
        <w:rPr>
          <w:rFonts w:cs="Arial"/>
        </w:rPr>
      </w:pPr>
      <w:r w:rsidRPr="00BC0701">
        <w:rPr>
          <w:rFonts w:cs="Arial"/>
        </w:rPr>
        <w:t>The structure of the funding is opaque and the underlying hedging arrangements and swaps are unknown.  It is possible that this is not hedged and thus there would be limited administrative costs for breaking the loan agreements.  Alternatively an estimate of the potential for swap breakage cost are circa £1.5m-£2m which mirrors the potential savings in inte</w:t>
      </w:r>
      <w:r>
        <w:rPr>
          <w:rFonts w:cs="Arial"/>
        </w:rPr>
        <w:t>rest rates and thus would remove</w:t>
      </w:r>
      <w:r w:rsidRPr="00BC0701">
        <w:rPr>
          <w:rFonts w:cs="Arial"/>
        </w:rPr>
        <w:t xml:space="preserve"> the rationale for enacting this if these costs were required.</w:t>
      </w:r>
    </w:p>
    <w:p w:rsidR="004F3EFC" w:rsidRPr="00BC0701" w:rsidRDefault="004F3EFC" w:rsidP="004F3EFC">
      <w:pPr>
        <w:pStyle w:val="Heading3"/>
      </w:pPr>
      <w:bookmarkStart w:id="12" w:name="_Toc345073966"/>
      <w:r w:rsidRPr="00BC0701">
        <w:t>Third party income sharing</w:t>
      </w:r>
      <w:bookmarkEnd w:id="12"/>
    </w:p>
    <w:p w:rsidR="004F3EFC" w:rsidRPr="00BC0701" w:rsidRDefault="004F3EFC" w:rsidP="004F3EFC">
      <w:pPr>
        <w:rPr>
          <w:rFonts w:cs="Arial"/>
        </w:rPr>
      </w:pPr>
      <w:r w:rsidRPr="00BC0701">
        <w:rPr>
          <w:rFonts w:cs="Arial"/>
        </w:rPr>
        <w:t>The income sharing mechanism for recyclate is largely standard in structure consisting of a guaranteed element and an element that is variable and shared with the contractor.  The authority shares in the upside if income from recyclates increases but does not lose any income if the net income falls below zero.  This can be described as an asymmetric risk sharing arrangement, the authority having the potential of higher income sharing as recyclate prices increase but protected from paying should the price of recyclate fall below zero pounds.  The contractor is exposed to the fluctuations in market prices; when prices fall they suffer and when prices rise they get a share of the upside. Initially the sharing starts at 50:50 but the contractor gets a larger share as the quantity of excess income increases in to band B and above</w:t>
      </w:r>
      <w:r w:rsidRPr="00BC0701">
        <w:rPr>
          <w:rStyle w:val="FootnoteReference"/>
          <w:rFonts w:cs="Arial"/>
        </w:rPr>
        <w:footnoteReference w:id="2"/>
      </w:r>
      <w:r w:rsidRPr="00BC0701">
        <w:rPr>
          <w:rFonts w:cs="Arial"/>
        </w:rPr>
        <w:t>.  The predicted levels of recycling income are reassessed every 5 years using market testing. This approach has been adopted so that the contractor takes the short-term risk in market prices, whilst the authority takes the long-term risk.</w:t>
      </w:r>
    </w:p>
    <w:p w:rsidR="004F3EFC" w:rsidRPr="00BC0701" w:rsidRDefault="004F3EFC" w:rsidP="004F3EFC">
      <w:pPr>
        <w:rPr>
          <w:rFonts w:cs="Arial"/>
        </w:rPr>
      </w:pPr>
      <w:r w:rsidRPr="00BC0701">
        <w:rPr>
          <w:rFonts w:cs="Arial"/>
        </w:rPr>
        <w:t xml:space="preserve">This is a good arrangement for the authority, </w:t>
      </w:r>
      <w:r>
        <w:rPr>
          <w:rFonts w:cs="Arial"/>
        </w:rPr>
        <w:t>as</w:t>
      </w:r>
      <w:r w:rsidRPr="00BC0701">
        <w:rPr>
          <w:rFonts w:cs="Arial"/>
        </w:rPr>
        <w:t xml:space="preserve"> has been demonstrated in recent years as prices for recyclates have fallen. It is therefore not an area where it would be in the authorities interest to accept more risk on price movements in exchange for higher income sharing.</w:t>
      </w:r>
    </w:p>
    <w:p w:rsidR="004F3EFC" w:rsidRPr="00BC0701" w:rsidRDefault="004F3EFC" w:rsidP="004F3EFC">
      <w:pPr>
        <w:pStyle w:val="Heading3"/>
      </w:pPr>
      <w:bookmarkStart w:id="13" w:name="_Toc345073967"/>
      <w:r w:rsidRPr="00BC0701">
        <w:lastRenderedPageBreak/>
        <w:t>Payment terms</w:t>
      </w:r>
      <w:bookmarkEnd w:id="13"/>
    </w:p>
    <w:p w:rsidR="004F3EFC" w:rsidRPr="00BC0701" w:rsidRDefault="004F3EFC" w:rsidP="004F3EFC">
      <w:pPr>
        <w:rPr>
          <w:rFonts w:cs="Arial"/>
        </w:rPr>
      </w:pPr>
      <w:r w:rsidRPr="00BC0701">
        <w:rPr>
          <w:rFonts w:cs="Arial"/>
        </w:rPr>
        <w:t>The debtor days in the financial model are based on an average period of 45 days between issue of the invoice and payment.  This is not a typical arrangement (30 days is normal) but Veolia will have factored in this delay in payment in its cashflow calculations.  If the debtor days were reduced to zero the model indicates an impact of circa 40-50k in the annual cashflow.  The cash flow amounts drive the project IRR and thus there will be potential to achieve a cost saving by reducing the time between receiving the invoice and paying it.  The exact value of this would require detailed modelling but it is estimated to be less than £50k per year saving.</w:t>
      </w:r>
    </w:p>
    <w:p w:rsidR="004F3EFC" w:rsidRPr="00BC0701" w:rsidRDefault="004F3EFC" w:rsidP="004F3EFC">
      <w:pPr>
        <w:rPr>
          <w:rFonts w:cs="Arial"/>
        </w:rPr>
      </w:pPr>
      <w:r w:rsidRPr="00BC0701">
        <w:rPr>
          <w:rFonts w:cs="Arial"/>
        </w:rPr>
        <w:t xml:space="preserve">The authority have already moved slightly on this issue as they have agreed to pay the recycling bonus on the forecast levels and only reconcile at the end of the year rather than quarterly as set out in the contract.  This generates no overall payment difference between the authority and contract on an annual basis but does reduce the administrative burden in assessing and evaluating the returns.  This saving </w:t>
      </w:r>
      <w:r>
        <w:rPr>
          <w:rFonts w:cs="Arial"/>
        </w:rPr>
        <w:t>originates</w:t>
      </w:r>
      <w:r w:rsidRPr="00BC0701">
        <w:rPr>
          <w:rFonts w:cs="Arial"/>
        </w:rPr>
        <w:t xml:space="preserve"> from a reduced requirement for administrative staff in MRWA but it is difficult to be precise over the actual time and thereby cost, saved.</w:t>
      </w:r>
    </w:p>
    <w:p w:rsidR="004F3EFC" w:rsidRPr="00BC0701" w:rsidRDefault="004F3EFC" w:rsidP="008B5D7A">
      <w:pPr>
        <w:pStyle w:val="Heading4"/>
        <w:keepLines w:val="0"/>
        <w:numPr>
          <w:ilvl w:val="3"/>
          <w:numId w:val="6"/>
        </w:numPr>
        <w:spacing w:after="60" w:line="276" w:lineRule="auto"/>
        <w:rPr>
          <w:rFonts w:cs="Arial"/>
        </w:rPr>
      </w:pPr>
      <w:r w:rsidRPr="00BC0701">
        <w:rPr>
          <w:rFonts w:cs="Arial"/>
        </w:rPr>
        <w:t>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946"/>
        <w:gridCol w:w="2018"/>
        <w:gridCol w:w="1647"/>
        <w:gridCol w:w="1647"/>
      </w:tblGrid>
      <w:tr w:rsidR="004F3EFC" w:rsidRPr="00BC0701" w:rsidTr="004F3EFC">
        <w:tc>
          <w:tcPr>
            <w:tcW w:w="1984" w:type="dxa"/>
            <w:shd w:val="pct20" w:color="auto" w:fill="auto"/>
          </w:tcPr>
          <w:p w:rsidR="004F3EFC" w:rsidRPr="00BC0701" w:rsidRDefault="004F3EFC" w:rsidP="004F3EFC">
            <w:pPr>
              <w:jc w:val="both"/>
              <w:rPr>
                <w:rFonts w:eastAsia="MS Mincho" w:cs="Arial"/>
              </w:rPr>
            </w:pPr>
            <w:r w:rsidRPr="00BC0701">
              <w:rPr>
                <w:rFonts w:eastAsia="MS Mincho" w:cs="Arial"/>
              </w:rPr>
              <w:t>Saving opportunity descriptor</w:t>
            </w:r>
          </w:p>
        </w:tc>
        <w:tc>
          <w:tcPr>
            <w:tcW w:w="1946" w:type="dxa"/>
            <w:shd w:val="pct20" w:color="auto" w:fill="auto"/>
          </w:tcPr>
          <w:p w:rsidR="004F3EFC" w:rsidRPr="00BC0701" w:rsidRDefault="004F3EFC" w:rsidP="004F3EFC">
            <w:pPr>
              <w:jc w:val="both"/>
              <w:rPr>
                <w:rFonts w:eastAsia="MS Mincho" w:cs="Arial"/>
              </w:rPr>
            </w:pPr>
            <w:r w:rsidRPr="00BC0701">
              <w:rPr>
                <w:rFonts w:eastAsia="MS Mincho" w:cs="Arial"/>
              </w:rPr>
              <w:t>Periodicity</w:t>
            </w:r>
          </w:p>
        </w:tc>
        <w:tc>
          <w:tcPr>
            <w:tcW w:w="2018" w:type="dxa"/>
            <w:shd w:val="pct20" w:color="auto" w:fill="auto"/>
          </w:tcPr>
          <w:p w:rsidR="004F3EFC" w:rsidRPr="00BC0701" w:rsidRDefault="004F3EFC" w:rsidP="004F3EFC">
            <w:pPr>
              <w:jc w:val="both"/>
              <w:rPr>
                <w:rFonts w:eastAsia="MS Mincho" w:cs="Arial"/>
              </w:rPr>
            </w:pPr>
            <w:r w:rsidRPr="00BC0701">
              <w:rPr>
                <w:rFonts w:eastAsia="MS Mincho" w:cs="Arial"/>
              </w:rPr>
              <w:t>Invest to Save Requirement (2015/16 prices)</w:t>
            </w:r>
          </w:p>
        </w:tc>
        <w:tc>
          <w:tcPr>
            <w:tcW w:w="1647" w:type="dxa"/>
            <w:shd w:val="pct20" w:color="auto" w:fill="auto"/>
          </w:tcPr>
          <w:p w:rsidR="004F3EFC" w:rsidRPr="00BC0701" w:rsidRDefault="004F3EFC" w:rsidP="004F3EFC">
            <w:pPr>
              <w:jc w:val="both"/>
              <w:rPr>
                <w:rFonts w:eastAsia="MS Mincho" w:cs="Arial"/>
              </w:rPr>
            </w:pPr>
            <w:r w:rsidRPr="00BC0701">
              <w:rPr>
                <w:rFonts w:eastAsia="MS Mincho" w:cs="Arial"/>
              </w:rPr>
              <w:t>Opex Saving (2015/16 prices)</w:t>
            </w:r>
          </w:p>
        </w:tc>
        <w:tc>
          <w:tcPr>
            <w:tcW w:w="1647" w:type="dxa"/>
            <w:shd w:val="pct20" w:color="auto" w:fill="auto"/>
          </w:tcPr>
          <w:p w:rsidR="004F3EFC" w:rsidRPr="00BC0701" w:rsidRDefault="004F3EFC" w:rsidP="004F3EFC">
            <w:pPr>
              <w:jc w:val="both"/>
              <w:rPr>
                <w:rFonts w:eastAsia="MS Mincho" w:cs="Arial"/>
              </w:rPr>
            </w:pPr>
            <w:r w:rsidRPr="00BC0701">
              <w:rPr>
                <w:rFonts w:eastAsia="MS Mincho" w:cs="Arial"/>
              </w:rPr>
              <w:t>Capex Saving (2015/16 prices)</w:t>
            </w:r>
          </w:p>
        </w:tc>
      </w:tr>
      <w:tr w:rsidR="004F3EFC" w:rsidRPr="00BC0701" w:rsidTr="004F3EFC">
        <w:tc>
          <w:tcPr>
            <w:tcW w:w="1984" w:type="dxa"/>
            <w:shd w:val="clear" w:color="auto" w:fill="auto"/>
          </w:tcPr>
          <w:p w:rsidR="004F3EFC" w:rsidRPr="00BC0701" w:rsidRDefault="004F3EFC" w:rsidP="004F3EFC">
            <w:pPr>
              <w:jc w:val="both"/>
              <w:rPr>
                <w:rFonts w:eastAsia="MS Mincho" w:cs="Arial"/>
              </w:rPr>
            </w:pPr>
            <w:r w:rsidRPr="00BC0701">
              <w:rPr>
                <w:rFonts w:eastAsia="MS Mincho" w:cs="Arial"/>
              </w:rPr>
              <w:t>Improving payment terms</w:t>
            </w:r>
          </w:p>
        </w:tc>
        <w:tc>
          <w:tcPr>
            <w:tcW w:w="1946" w:type="dxa"/>
            <w:shd w:val="clear" w:color="auto" w:fill="auto"/>
          </w:tcPr>
          <w:p w:rsidR="004F3EFC" w:rsidRPr="00BC0701" w:rsidRDefault="004F3EFC" w:rsidP="004F3EFC">
            <w:pPr>
              <w:jc w:val="both"/>
              <w:rPr>
                <w:rFonts w:eastAsia="MS Mincho" w:cs="Arial"/>
              </w:rPr>
            </w:pPr>
            <w:proofErr w:type="gramStart"/>
            <w:r w:rsidRPr="00BC0701">
              <w:rPr>
                <w:rFonts w:eastAsia="MS Mincho" w:cs="Arial"/>
              </w:rPr>
              <w:t>annual</w:t>
            </w:r>
            <w:proofErr w:type="gramEnd"/>
          </w:p>
        </w:tc>
        <w:tc>
          <w:tcPr>
            <w:tcW w:w="2018" w:type="dxa"/>
            <w:shd w:val="clear" w:color="auto" w:fill="auto"/>
          </w:tcPr>
          <w:p w:rsidR="004F3EFC" w:rsidRPr="00BC0701" w:rsidRDefault="004F3EFC" w:rsidP="004F3EFC">
            <w:pPr>
              <w:jc w:val="both"/>
              <w:rPr>
                <w:rFonts w:eastAsia="MS Mincho" w:cs="Arial"/>
              </w:rPr>
            </w:pPr>
            <w:proofErr w:type="gramStart"/>
            <w:r w:rsidRPr="00BC0701">
              <w:rPr>
                <w:rFonts w:eastAsia="MS Mincho" w:cs="Arial"/>
              </w:rPr>
              <w:t>nil</w:t>
            </w:r>
            <w:proofErr w:type="gramEnd"/>
          </w:p>
        </w:tc>
        <w:tc>
          <w:tcPr>
            <w:tcW w:w="1647" w:type="dxa"/>
            <w:shd w:val="clear" w:color="auto" w:fill="auto"/>
          </w:tcPr>
          <w:p w:rsidR="004F3EFC" w:rsidRPr="00BC0701" w:rsidRDefault="004F3EFC" w:rsidP="004F3EFC">
            <w:pPr>
              <w:jc w:val="both"/>
              <w:rPr>
                <w:rFonts w:eastAsia="MS Mincho" w:cs="Arial"/>
              </w:rPr>
            </w:pPr>
            <w:r w:rsidRPr="00BC0701">
              <w:rPr>
                <w:rFonts w:eastAsia="MS Mincho" w:cs="Arial"/>
              </w:rPr>
              <w:t>&lt;£50k</w:t>
            </w:r>
          </w:p>
        </w:tc>
        <w:tc>
          <w:tcPr>
            <w:tcW w:w="1647" w:type="dxa"/>
            <w:shd w:val="clear" w:color="auto" w:fill="auto"/>
          </w:tcPr>
          <w:p w:rsidR="004F3EFC" w:rsidRPr="00BC0701" w:rsidRDefault="004F3EFC" w:rsidP="004F3EFC">
            <w:pPr>
              <w:jc w:val="both"/>
              <w:rPr>
                <w:rFonts w:eastAsia="MS Mincho" w:cs="Arial"/>
              </w:rPr>
            </w:pPr>
            <w:proofErr w:type="gramStart"/>
            <w:r w:rsidRPr="00BC0701">
              <w:rPr>
                <w:rFonts w:eastAsia="MS Mincho" w:cs="Arial"/>
              </w:rPr>
              <w:t>nil</w:t>
            </w:r>
            <w:proofErr w:type="gramEnd"/>
          </w:p>
        </w:tc>
      </w:tr>
    </w:tbl>
    <w:p w:rsidR="004F3EFC" w:rsidRPr="00BC0701" w:rsidRDefault="004F3EFC" w:rsidP="004F3EFC">
      <w:pPr>
        <w:rPr>
          <w:rFonts w:cs="Arial"/>
          <w:b/>
        </w:rPr>
      </w:pPr>
    </w:p>
    <w:p w:rsidR="004F3EFC" w:rsidRPr="00BC0701" w:rsidRDefault="004F3EFC" w:rsidP="004F3EFC">
      <w:pPr>
        <w:rPr>
          <w:rFonts w:cs="Arial"/>
          <w:b/>
        </w:rPr>
      </w:pPr>
      <w:r w:rsidRPr="00BC0701">
        <w:rPr>
          <w:rFonts w:cs="Arial"/>
          <w:noProof/>
          <w:lang w:val="en-US" w:eastAsia="en-US"/>
        </w:rPr>
        <w:drawing>
          <wp:anchor distT="0" distB="0" distL="114300" distR="114300" simplePos="0" relativeHeight="251667456" behindDoc="1" locked="0" layoutInCell="1" allowOverlap="1" wp14:anchorId="75BF71F1" wp14:editId="4C83267B">
            <wp:simplePos x="0" y="0"/>
            <wp:positionH relativeFrom="column">
              <wp:posOffset>5069840</wp:posOffset>
            </wp:positionH>
            <wp:positionV relativeFrom="paragraph">
              <wp:posOffset>256540</wp:posOffset>
            </wp:positionV>
            <wp:extent cx="770255" cy="1258570"/>
            <wp:effectExtent l="0" t="0" r="0" b="11430"/>
            <wp:wrapTight wrapText="bothSides">
              <wp:wrapPolygon edited="0">
                <wp:start x="712" y="0"/>
                <wp:lineTo x="0" y="3923"/>
                <wp:lineTo x="0" y="21360"/>
                <wp:lineTo x="20656" y="21360"/>
                <wp:lineTo x="20656" y="3923"/>
                <wp:lineTo x="19232" y="0"/>
                <wp:lineTo x="71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0255" cy="1258570"/>
                    </a:xfrm>
                    <a:prstGeom prst="rect">
                      <a:avLst/>
                    </a:prstGeom>
                    <a:noFill/>
                  </pic:spPr>
                </pic:pic>
              </a:graphicData>
            </a:graphic>
            <wp14:sizeRelH relativeFrom="page">
              <wp14:pctWidth>0</wp14:pctWidth>
            </wp14:sizeRelH>
            <wp14:sizeRelV relativeFrom="page">
              <wp14:pctHeight>0</wp14:pctHeight>
            </wp14:sizeRelV>
          </wp:anchor>
        </w:drawing>
      </w:r>
      <w:r w:rsidRPr="00BC0701">
        <w:rPr>
          <w:rFonts w:cs="Arial"/>
          <w:b/>
        </w:rPr>
        <w:t>Description</w:t>
      </w:r>
    </w:p>
    <w:p w:rsidR="004F3EFC" w:rsidRPr="00BC0701" w:rsidRDefault="004F3EFC" w:rsidP="004F3EFC">
      <w:pPr>
        <w:rPr>
          <w:rFonts w:cs="Arial"/>
        </w:rPr>
      </w:pPr>
      <w:r w:rsidRPr="00BC0701">
        <w:rPr>
          <w:rFonts w:cs="Arial"/>
        </w:rPr>
        <w:t>Reducing the debtor days from the current 45 days to zero to improve the cashflow performance of the contractor.</w:t>
      </w:r>
    </w:p>
    <w:p w:rsidR="004F3EFC" w:rsidRPr="00BC0701" w:rsidRDefault="004F3EFC" w:rsidP="004F3EFC">
      <w:pPr>
        <w:rPr>
          <w:rFonts w:cs="Arial"/>
          <w:b/>
        </w:rPr>
      </w:pPr>
      <w:r w:rsidRPr="00BC0701">
        <w:rPr>
          <w:rFonts w:cs="Arial"/>
          <w:b/>
        </w:rPr>
        <w:t>Status</w:t>
      </w:r>
    </w:p>
    <w:p w:rsidR="004F3EFC" w:rsidRPr="00BC0701" w:rsidRDefault="004F3EFC" w:rsidP="004F3EFC">
      <w:pPr>
        <w:rPr>
          <w:rFonts w:cs="Arial"/>
        </w:rPr>
      </w:pPr>
      <w:r w:rsidRPr="00BC0701">
        <w:rPr>
          <w:rFonts w:cs="Arial"/>
        </w:rPr>
        <w:t>Investigate further: Detailed financial modelling and an understanding of the impacts on the project IRR will only determine the true value.</w:t>
      </w:r>
    </w:p>
    <w:p w:rsidR="004F3EFC" w:rsidRPr="00BC0701" w:rsidRDefault="004F3EFC" w:rsidP="004F3EFC">
      <w:pPr>
        <w:rPr>
          <w:rFonts w:cs="Arial"/>
          <w:b/>
        </w:rPr>
      </w:pPr>
      <w:r w:rsidRPr="00BC0701">
        <w:rPr>
          <w:rFonts w:cs="Arial"/>
          <w:b/>
        </w:rPr>
        <w:t>Assumptions</w:t>
      </w:r>
    </w:p>
    <w:p w:rsidR="004F3EFC" w:rsidRPr="00BC0701" w:rsidRDefault="004F3EFC" w:rsidP="004F3EFC">
      <w:pPr>
        <w:rPr>
          <w:rFonts w:cs="Arial"/>
        </w:rPr>
      </w:pPr>
      <w:r w:rsidRPr="00BC0701">
        <w:rPr>
          <w:rFonts w:cs="Arial"/>
        </w:rPr>
        <w:t>The sum of £40k-£50k is based on reducing the annual £40k-£50k impact shown in the financial model linked to the interest of the outstanding sums.</w:t>
      </w:r>
    </w:p>
    <w:p w:rsidR="004F3EFC" w:rsidRPr="00BC0701" w:rsidRDefault="004F3EFC" w:rsidP="004F3EFC">
      <w:pPr>
        <w:rPr>
          <w:rFonts w:cs="Arial"/>
          <w:b/>
        </w:rPr>
      </w:pPr>
      <w:r w:rsidRPr="00BC0701">
        <w:rPr>
          <w:rFonts w:cs="Arial"/>
          <w:b/>
        </w:rPr>
        <w:t>Key Considerations</w:t>
      </w:r>
    </w:p>
    <w:p w:rsidR="004F3EFC" w:rsidRPr="00BC0701" w:rsidRDefault="004F3EFC" w:rsidP="004F3EFC">
      <w:pPr>
        <w:rPr>
          <w:rFonts w:cs="Arial"/>
        </w:rPr>
      </w:pPr>
      <w:r w:rsidRPr="00BC0701">
        <w:rPr>
          <w:rFonts w:cs="Arial"/>
        </w:rPr>
        <w:t>The impacts are limited.</w:t>
      </w:r>
    </w:p>
    <w:p w:rsidR="004F3EFC" w:rsidRPr="00BC0701" w:rsidRDefault="004F3EFC" w:rsidP="004F3EFC">
      <w:pPr>
        <w:pStyle w:val="Heading3"/>
      </w:pPr>
      <w:bookmarkStart w:id="14" w:name="_Toc345073968"/>
      <w:r w:rsidRPr="00BC0701">
        <w:t>Contract term</w:t>
      </w:r>
      <w:bookmarkEnd w:id="14"/>
    </w:p>
    <w:p w:rsidR="004F3EFC" w:rsidRPr="00BC0701" w:rsidRDefault="004F3EFC" w:rsidP="004F3EFC">
      <w:pPr>
        <w:rPr>
          <w:rFonts w:cs="Arial"/>
        </w:rPr>
      </w:pPr>
      <w:r w:rsidRPr="00BC0701">
        <w:rPr>
          <w:rFonts w:cs="Arial"/>
        </w:rPr>
        <w:t>The contract naturally terminates on 31</w:t>
      </w:r>
      <w:r w:rsidRPr="00BC0701">
        <w:rPr>
          <w:rFonts w:cs="Arial"/>
          <w:vertAlign w:val="superscript"/>
        </w:rPr>
        <w:t>st</w:t>
      </w:r>
      <w:r w:rsidRPr="00BC0701">
        <w:rPr>
          <w:rFonts w:cs="Arial"/>
        </w:rPr>
        <w:t xml:space="preserve"> May 2029 but there is potential to extend the contract by up to 5 years.  Contractors typically value the opportunity to extend contracts as it can provide them with greater certainty over future cash flows and market share. They will therefore often offer a saving for the final term of the contract. However, as there are 13 years remaining in this contract it is probably too early to consider this as an opportunity as market conditions, policy and other factors will be difficult to predict that far in advance and the Authority may in event need a completely different type of contract.</w:t>
      </w:r>
    </w:p>
    <w:p w:rsidR="004F3EFC" w:rsidRPr="00BC0701" w:rsidRDefault="004F3EFC" w:rsidP="004F3EFC">
      <w:pPr>
        <w:pStyle w:val="Heading3"/>
      </w:pPr>
      <w:bookmarkStart w:id="15" w:name="_Toc345073969"/>
      <w:r w:rsidRPr="00BC0701">
        <w:t>Performance Management Framework (PMF)</w:t>
      </w:r>
      <w:bookmarkEnd w:id="15"/>
    </w:p>
    <w:p w:rsidR="004F3EFC" w:rsidRPr="00BC0701" w:rsidRDefault="004F3EFC" w:rsidP="004F3EFC">
      <w:pPr>
        <w:rPr>
          <w:rFonts w:cs="Arial"/>
        </w:rPr>
      </w:pPr>
      <w:r w:rsidRPr="00BC0701">
        <w:rPr>
          <w:rFonts w:cs="Arial"/>
        </w:rPr>
        <w:t xml:space="preserve">The PMF is typical of standard drafting and applies Key Performance Indicators (KPI’s) that the contractor has to comply with; failure to do so results in financial deductions or penalty points. If the penalty points accumulate and breach certain thresholds as set out in the contract then this triggers failure notices. </w:t>
      </w:r>
    </w:p>
    <w:p w:rsidR="004F3EFC" w:rsidRPr="00BC0701" w:rsidRDefault="004F3EFC" w:rsidP="004F3EFC">
      <w:pPr>
        <w:rPr>
          <w:rFonts w:cs="Arial"/>
        </w:rPr>
      </w:pPr>
      <w:r w:rsidRPr="00BC0701">
        <w:rPr>
          <w:rFonts w:cs="Arial"/>
        </w:rPr>
        <w:t xml:space="preserve">As the contract has been operating for several years the Authority should re-evaluate the KPI’s and assess whether they remain relevant to the services being delivered or if the risks associated with the measures have dissolved. If either of these has occurred then the Authority can evaluate whether </w:t>
      </w:r>
      <w:r w:rsidRPr="00BC0701">
        <w:rPr>
          <w:rFonts w:cs="Arial"/>
        </w:rPr>
        <w:lastRenderedPageBreak/>
        <w:t>these KPIs are required and if there is a case to trade the removal of these obligations with the Contractor.</w:t>
      </w:r>
    </w:p>
    <w:p w:rsidR="004F3EFC" w:rsidRPr="00BC0701" w:rsidRDefault="004F3EFC" w:rsidP="004F3EFC">
      <w:pPr>
        <w:rPr>
          <w:rFonts w:cs="Arial"/>
        </w:rPr>
      </w:pPr>
      <w:r w:rsidRPr="00BC0701">
        <w:rPr>
          <w:rFonts w:cs="Arial"/>
        </w:rPr>
        <w:t>The rationale for a particular KPI being irrelevant may be changes in the regulatory framework or that the KPI is effectively addressed through other measures.  For example the environmental KPIs</w:t>
      </w:r>
      <w:proofErr w:type="gramStart"/>
      <w:r w:rsidRPr="00BC0701">
        <w:rPr>
          <w:rFonts w:cs="Arial"/>
        </w:rPr>
        <w:t>;</w:t>
      </w:r>
      <w:proofErr w:type="gramEnd"/>
      <w:r w:rsidRPr="00BC0701">
        <w:rPr>
          <w:rFonts w:cs="Arial"/>
        </w:rPr>
        <w:t xml:space="preserve"> it could be argued that these are now covered by the contractors environmental permit responsibilities e.g. KPI 30 which specifically links to legal compliance of weighbridge operation.  Given that failure of this KPI will also potentially incur the sanction from the relevant body (Environment Agency (EA) or trading standards) and the key risk to the authority would be that the regulatory body does not impose a sanction and thereby poor performance occurs.</w:t>
      </w:r>
    </w:p>
    <w:p w:rsidR="004F3EFC" w:rsidRPr="00BC0701" w:rsidRDefault="004F3EFC" w:rsidP="004F3EFC">
      <w:pPr>
        <w:rPr>
          <w:rFonts w:cs="Arial"/>
        </w:rPr>
      </w:pPr>
      <w:r w:rsidRPr="00BC0701">
        <w:rPr>
          <w:rFonts w:cs="Arial"/>
        </w:rPr>
        <w:t xml:space="preserve">Thus a review of each of the KPIs needs to be conducted to determine </w:t>
      </w:r>
    </w:p>
    <w:p w:rsidR="004F3EFC" w:rsidRPr="00BC0701" w:rsidRDefault="004F3EFC" w:rsidP="008B5D7A">
      <w:pPr>
        <w:numPr>
          <w:ilvl w:val="0"/>
          <w:numId w:val="5"/>
        </w:numPr>
        <w:spacing w:after="200" w:line="276" w:lineRule="auto"/>
        <w:rPr>
          <w:rFonts w:cs="Arial"/>
        </w:rPr>
      </w:pPr>
      <w:proofErr w:type="gramStart"/>
      <w:r w:rsidRPr="00BC0701">
        <w:rPr>
          <w:rFonts w:cs="Arial"/>
        </w:rPr>
        <w:t>the</w:t>
      </w:r>
      <w:proofErr w:type="gramEnd"/>
      <w:r w:rsidRPr="00BC0701">
        <w:rPr>
          <w:rFonts w:cs="Arial"/>
        </w:rPr>
        <w:t xml:space="preserve"> frequency which these KPIs have been failed</w:t>
      </w:r>
    </w:p>
    <w:p w:rsidR="004F3EFC" w:rsidRPr="00BC0701" w:rsidRDefault="004F3EFC" w:rsidP="008B5D7A">
      <w:pPr>
        <w:numPr>
          <w:ilvl w:val="0"/>
          <w:numId w:val="5"/>
        </w:numPr>
        <w:spacing w:after="200" w:line="276" w:lineRule="auto"/>
        <w:rPr>
          <w:rFonts w:cs="Arial"/>
        </w:rPr>
      </w:pPr>
      <w:proofErr w:type="gramStart"/>
      <w:r w:rsidRPr="00BC0701">
        <w:rPr>
          <w:rFonts w:cs="Arial"/>
        </w:rPr>
        <w:t>the</w:t>
      </w:r>
      <w:proofErr w:type="gramEnd"/>
      <w:r w:rsidRPr="00BC0701">
        <w:rPr>
          <w:rFonts w:cs="Arial"/>
        </w:rPr>
        <w:t xml:space="preserve"> alternative sanctions that arise from non-performance of the particular activity and which organisation is responsible for monitoring compliance</w:t>
      </w:r>
    </w:p>
    <w:p w:rsidR="004F3EFC" w:rsidRPr="00BC0701" w:rsidRDefault="004F3EFC" w:rsidP="008B5D7A">
      <w:pPr>
        <w:numPr>
          <w:ilvl w:val="0"/>
          <w:numId w:val="5"/>
        </w:numPr>
        <w:spacing w:after="200" w:line="276" w:lineRule="auto"/>
        <w:rPr>
          <w:rFonts w:cs="Arial"/>
        </w:rPr>
      </w:pPr>
      <w:proofErr w:type="gramStart"/>
      <w:r w:rsidRPr="00BC0701">
        <w:rPr>
          <w:rFonts w:cs="Arial"/>
        </w:rPr>
        <w:t>has</w:t>
      </w:r>
      <w:proofErr w:type="gramEnd"/>
      <w:r w:rsidRPr="00BC0701">
        <w:rPr>
          <w:rFonts w:cs="Arial"/>
        </w:rPr>
        <w:t xml:space="preserve"> the need for the particular KPI been eroded or removed by change in the service or regulatory background.</w:t>
      </w:r>
    </w:p>
    <w:p w:rsidR="004F3EFC" w:rsidRPr="00BC0701" w:rsidRDefault="004F3EFC" w:rsidP="004F3EFC">
      <w:pPr>
        <w:rPr>
          <w:rFonts w:cs="Arial"/>
        </w:rPr>
      </w:pPr>
      <w:r w:rsidRPr="00BC0701">
        <w:rPr>
          <w:rFonts w:cs="Arial"/>
        </w:rPr>
        <w:t xml:space="preserve">This review will then inform a decision if any others are potentially redundant or removable without significant impact on the contractor performance.  Removal of the KPIs from the PMF would have a risk exposure benefit to the contractor as whilst </w:t>
      </w:r>
      <w:proofErr w:type="gramStart"/>
      <w:r w:rsidRPr="00BC0701">
        <w:rPr>
          <w:rFonts w:cs="Arial"/>
        </w:rPr>
        <w:t>any deductions would be received by the authority</w:t>
      </w:r>
      <w:proofErr w:type="gramEnd"/>
      <w:r w:rsidRPr="00BC0701">
        <w:rPr>
          <w:rFonts w:cs="Arial"/>
        </w:rPr>
        <w:t>, if it is only applied to those KPIs that are unlikely to be transgressed then it will not affect the authority income.</w:t>
      </w:r>
    </w:p>
    <w:p w:rsidR="004F3EFC" w:rsidRPr="00BC0701" w:rsidRDefault="004F3EFC" w:rsidP="004F3EFC">
      <w:pPr>
        <w:pStyle w:val="Heading3"/>
      </w:pPr>
      <w:bookmarkStart w:id="16" w:name="_Toc345073970"/>
      <w:r w:rsidRPr="00BC0701">
        <w:t>Insurance</w:t>
      </w:r>
      <w:bookmarkEnd w:id="16"/>
    </w:p>
    <w:p w:rsidR="004F3EFC" w:rsidRPr="00BC0701" w:rsidRDefault="004F3EFC" w:rsidP="004F3EFC">
      <w:pPr>
        <w:rPr>
          <w:rFonts w:cs="Arial"/>
        </w:rPr>
      </w:pPr>
      <w:r w:rsidRPr="00BC0701">
        <w:rPr>
          <w:rFonts w:cs="Arial"/>
        </w:rPr>
        <w:t>Investigation of the insurance provisions indicates that the entire risk of premium inflation sits with the contractor.  There is therefore no opportunity to make savings in this area.</w:t>
      </w:r>
    </w:p>
    <w:p w:rsidR="004F3EFC" w:rsidRPr="00BC0701" w:rsidRDefault="004F3EFC" w:rsidP="004F3EFC">
      <w:pPr>
        <w:pStyle w:val="Heading3"/>
      </w:pPr>
      <w:bookmarkStart w:id="17" w:name="_Toc345073971"/>
      <w:r w:rsidRPr="00BC0701">
        <w:t>MRFs</w:t>
      </w:r>
      <w:bookmarkEnd w:id="17"/>
      <w:r w:rsidRPr="00BC0701">
        <w:t xml:space="preserve"> </w:t>
      </w:r>
    </w:p>
    <w:p w:rsidR="004F3EFC" w:rsidRPr="00BC0701" w:rsidRDefault="004F3EFC" w:rsidP="004F3EFC">
      <w:pPr>
        <w:rPr>
          <w:rFonts w:cs="Arial"/>
        </w:rPr>
      </w:pPr>
      <w:r w:rsidRPr="00BC0701">
        <w:rPr>
          <w:rFonts w:cs="Arial"/>
        </w:rPr>
        <w:t xml:space="preserve">There are two MRFs within the contract at </w:t>
      </w:r>
      <w:proofErr w:type="spellStart"/>
      <w:r w:rsidRPr="00BC0701">
        <w:rPr>
          <w:rFonts w:cs="Arial"/>
        </w:rPr>
        <w:t>Gillmoss</w:t>
      </w:r>
      <w:proofErr w:type="spellEnd"/>
      <w:r w:rsidRPr="00BC0701">
        <w:rPr>
          <w:rFonts w:cs="Arial"/>
        </w:rPr>
        <w:t xml:space="preserve"> and </w:t>
      </w:r>
      <w:proofErr w:type="spellStart"/>
      <w:r w:rsidRPr="00BC0701">
        <w:rPr>
          <w:rFonts w:cs="Arial"/>
        </w:rPr>
        <w:t>Bidston</w:t>
      </w:r>
      <w:proofErr w:type="spellEnd"/>
      <w:r w:rsidRPr="00BC0701">
        <w:rPr>
          <w:rFonts w:cs="Arial"/>
        </w:rPr>
        <w:t xml:space="preserve">, these accept the recyclates collected at the kerbside by the councils and separates them so that they can be sold on to reprocessors.  </w:t>
      </w:r>
      <w:proofErr w:type="spellStart"/>
      <w:r w:rsidRPr="00BC0701">
        <w:rPr>
          <w:rFonts w:cs="Arial"/>
        </w:rPr>
        <w:t>Bidston</w:t>
      </w:r>
      <w:proofErr w:type="spellEnd"/>
      <w:r w:rsidRPr="00BC0701">
        <w:rPr>
          <w:rFonts w:cs="Arial"/>
        </w:rPr>
        <w:t xml:space="preserve"> has a contract threshold of 85,000 </w:t>
      </w:r>
      <w:proofErr w:type="gramStart"/>
      <w:r w:rsidRPr="00BC0701">
        <w:rPr>
          <w:rFonts w:cs="Arial"/>
        </w:rPr>
        <w:t>tpa</w:t>
      </w:r>
      <w:proofErr w:type="gramEnd"/>
      <w:r w:rsidRPr="00BC0701">
        <w:rPr>
          <w:rFonts w:cs="Arial"/>
        </w:rPr>
        <w:t xml:space="preserve"> and </w:t>
      </w:r>
      <w:proofErr w:type="spellStart"/>
      <w:r>
        <w:rPr>
          <w:rFonts w:cs="Arial"/>
        </w:rPr>
        <w:t>Gillmoss</w:t>
      </w:r>
      <w:proofErr w:type="spellEnd"/>
      <w:r>
        <w:rPr>
          <w:rFonts w:cs="Arial"/>
        </w:rPr>
        <w:t xml:space="preserve"> 65</w:t>
      </w:r>
      <w:r w:rsidRPr="00BC0701">
        <w:rPr>
          <w:rFonts w:cs="Arial"/>
        </w:rPr>
        <w:t>,000tpa.  There is a potential opportunity to add further processing capacity to the existing MRF operations in the form of plastics separation. Presently mixed plastics are separated from other recyclate in the MRF and dispatched for further separation and processing at specialist facilities. This opportunity arises, as the value of separated plastics is considerably higher than mixed plastics. If the value of separated plastics exceeds the capital and operating costs of the plastics sorting equipment (over time), and the value of mixed plastics, then a business case can be developed.</w:t>
      </w:r>
    </w:p>
    <w:p w:rsidR="004F3EFC" w:rsidRPr="00BC0701" w:rsidRDefault="004F3EFC" w:rsidP="004F3EFC">
      <w:pPr>
        <w:rPr>
          <w:rFonts w:cs="Arial"/>
        </w:rPr>
      </w:pPr>
      <w:r w:rsidRPr="00BC0701">
        <w:rPr>
          <w:rFonts w:cs="Arial"/>
        </w:rPr>
        <w:t xml:space="preserve">Examination of the prices of recycled plastic prices and the differentials between the mixed plastics fraction and the separated polymers is shown in Figure 1 </w:t>
      </w:r>
      <w:proofErr w:type="spellStart"/>
      <w:r w:rsidRPr="00BC0701">
        <w:rPr>
          <w:rFonts w:cs="Arial"/>
        </w:rPr>
        <w:t>below</w:t>
      </w:r>
      <w:r w:rsidRPr="00BC0701">
        <w:rPr>
          <w:rFonts w:cs="Arial"/>
        </w:rPr>
        <w:fldChar w:fldCharType="begin"/>
      </w:r>
      <w:r w:rsidRPr="00BC0701">
        <w:rPr>
          <w:rFonts w:cs="Arial"/>
        </w:rPr>
        <w:instrText xml:space="preserve"> REF _Ref456774785 \h </w:instrText>
      </w:r>
      <w:r w:rsidRPr="00BC0701">
        <w:rPr>
          <w:rFonts w:cs="Arial"/>
        </w:rPr>
        <w:fldChar w:fldCharType="separate"/>
      </w:r>
      <w:r w:rsidR="001F0B12">
        <w:rPr>
          <w:rFonts w:cs="Arial"/>
          <w:b/>
        </w:rPr>
        <w:t>Error</w:t>
      </w:r>
      <w:proofErr w:type="spellEnd"/>
      <w:r w:rsidR="001F0B12">
        <w:rPr>
          <w:rFonts w:cs="Arial"/>
          <w:b/>
        </w:rPr>
        <w:t xml:space="preserve">! </w:t>
      </w:r>
      <w:proofErr w:type="gramStart"/>
      <w:r w:rsidR="001F0B12">
        <w:rPr>
          <w:rFonts w:cs="Arial"/>
          <w:b/>
        </w:rPr>
        <w:t>Reference source not found.</w:t>
      </w:r>
      <w:r w:rsidRPr="00BC0701">
        <w:rPr>
          <w:rFonts w:cs="Arial"/>
        </w:rPr>
        <w:fldChar w:fldCharType="end"/>
      </w:r>
      <w:r w:rsidRPr="00BC0701">
        <w:rPr>
          <w:rFonts w:cs="Arial"/>
        </w:rPr>
        <w:t>.</w:t>
      </w:r>
      <w:proofErr w:type="gramEnd"/>
      <w:r w:rsidRPr="00BC0701">
        <w:rPr>
          <w:rFonts w:cs="Arial"/>
        </w:rPr>
        <w:t xml:space="preserve">  It can be seen that there has been a gradual increase in the value of separated polymers (HDPE and PET) compared to mixed plastics.</w:t>
      </w:r>
    </w:p>
    <w:p w:rsidR="004F3EFC" w:rsidRPr="00BC0701" w:rsidRDefault="004F3EFC" w:rsidP="004F3EFC">
      <w:pPr>
        <w:keepNext/>
        <w:rPr>
          <w:rFonts w:cs="Arial"/>
        </w:rPr>
      </w:pPr>
      <w:r>
        <w:rPr>
          <w:rFonts w:cs="Arial"/>
          <w:noProof/>
          <w:lang w:val="en-US" w:eastAsia="en-US"/>
        </w:rPr>
        <w:lastRenderedPageBreak/>
        <w:drawing>
          <wp:inline distT="0" distB="0" distL="0" distR="0" wp14:anchorId="5E68274E" wp14:editId="5CB8C762">
            <wp:extent cx="4581525" cy="2752725"/>
            <wp:effectExtent l="0" t="0" r="0" b="0"/>
            <wp:docPr id="12"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81525" cy="2752725"/>
                    </a:xfrm>
                    <a:prstGeom prst="rect">
                      <a:avLst/>
                    </a:prstGeom>
                    <a:noFill/>
                    <a:ln>
                      <a:noFill/>
                    </a:ln>
                  </pic:spPr>
                </pic:pic>
              </a:graphicData>
            </a:graphic>
          </wp:inline>
        </w:drawing>
      </w:r>
    </w:p>
    <w:p w:rsidR="004F3EFC" w:rsidRPr="00BC0701" w:rsidRDefault="004F3EFC" w:rsidP="004F3EFC">
      <w:pPr>
        <w:pStyle w:val="Caption"/>
        <w:rPr>
          <w:rFonts w:ascii="Arial" w:hAnsi="Arial" w:cs="Arial"/>
        </w:rPr>
      </w:pPr>
      <w:r w:rsidRPr="00BC0701">
        <w:rPr>
          <w:rFonts w:ascii="Arial" w:hAnsi="Arial" w:cs="Arial"/>
        </w:rPr>
        <w:t xml:space="preserve">Figure </w:t>
      </w:r>
      <w:r w:rsidRPr="00BC0701">
        <w:rPr>
          <w:rFonts w:ascii="Arial" w:hAnsi="Arial" w:cs="Arial"/>
        </w:rPr>
        <w:fldChar w:fldCharType="begin"/>
      </w:r>
      <w:r w:rsidRPr="00BC0701">
        <w:rPr>
          <w:rFonts w:ascii="Arial" w:hAnsi="Arial" w:cs="Arial"/>
        </w:rPr>
        <w:instrText xml:space="preserve"> SEQ Figure \* ARABIC </w:instrText>
      </w:r>
      <w:r w:rsidRPr="00BC0701">
        <w:rPr>
          <w:rFonts w:ascii="Arial" w:hAnsi="Arial" w:cs="Arial"/>
        </w:rPr>
        <w:fldChar w:fldCharType="separate"/>
      </w:r>
      <w:r w:rsidR="001F0B12">
        <w:rPr>
          <w:rFonts w:ascii="Arial" w:hAnsi="Arial" w:cs="Arial"/>
          <w:noProof/>
        </w:rPr>
        <w:t>1</w:t>
      </w:r>
      <w:r w:rsidRPr="00BC0701">
        <w:rPr>
          <w:rFonts w:ascii="Arial" w:hAnsi="Arial" w:cs="Arial"/>
          <w:noProof/>
        </w:rPr>
        <w:fldChar w:fldCharType="end"/>
      </w:r>
      <w:r w:rsidRPr="00BC0701">
        <w:rPr>
          <w:rFonts w:ascii="Arial" w:hAnsi="Arial" w:cs="Arial"/>
        </w:rPr>
        <w:t xml:space="preserve"> Differentials between mixed bottles prices and single polymer fractions</w:t>
      </w:r>
    </w:p>
    <w:p w:rsidR="004F3EFC" w:rsidRPr="00BC0701" w:rsidRDefault="004F3EFC" w:rsidP="004F3EFC">
      <w:pPr>
        <w:rPr>
          <w:rFonts w:cs="Arial"/>
        </w:rPr>
      </w:pPr>
      <w:r w:rsidRPr="00BC0701">
        <w:rPr>
          <w:rFonts w:cs="Arial"/>
        </w:rPr>
        <w:t>There may be other reasons for implementing this type of change even if the benefit still does not outweigh the additional costs to the project.  The production of single polymer fractions locally may facilitate additional options within the region for recycling which might benefi</w:t>
      </w:r>
      <w:r>
        <w:rPr>
          <w:rFonts w:cs="Arial"/>
        </w:rPr>
        <w:t>t the local businesses, reduce</w:t>
      </w:r>
      <w:r w:rsidRPr="00BC0701">
        <w:rPr>
          <w:rFonts w:cs="Arial"/>
        </w:rPr>
        <w:t xml:space="preserve"> transport costs, support local employment and facilitate the move towards a “circular economy”. It may also be possible to process mixed plastics from other Councils and obtain third party income.</w:t>
      </w:r>
    </w:p>
    <w:p w:rsidR="004F3EFC" w:rsidRPr="00BC0701" w:rsidRDefault="004F3EFC" w:rsidP="00FD42F2">
      <w:pPr>
        <w:pStyle w:val="Heading3"/>
      </w:pPr>
      <w:bookmarkStart w:id="18" w:name="_Toc345073972"/>
      <w:r w:rsidRPr="00BC0701">
        <w:t>Additional MRF capacity</w:t>
      </w:r>
      <w:bookmarkEnd w:id="18"/>
    </w:p>
    <w:p w:rsidR="004F3EFC" w:rsidRPr="00BC0701" w:rsidRDefault="004F3EFC" w:rsidP="004F3EFC">
      <w:pPr>
        <w:rPr>
          <w:rFonts w:cs="Arial"/>
        </w:rPr>
      </w:pPr>
      <w:r w:rsidRPr="00BC0701">
        <w:rPr>
          <w:rFonts w:cs="Arial"/>
        </w:rPr>
        <w:t>The plants were designed with spare capacity of around 20%</w:t>
      </w:r>
      <w:r w:rsidRPr="00BC0701">
        <w:rPr>
          <w:rStyle w:val="FootnoteReference"/>
          <w:rFonts w:cs="Arial"/>
        </w:rPr>
        <w:footnoteReference w:id="3"/>
      </w:r>
      <w:r w:rsidRPr="00BC0701">
        <w:rPr>
          <w:rFonts w:cs="Arial"/>
        </w:rPr>
        <w:t>.  This additional capacity was included to deal with unforeseen stoppages and variations to the waste supply</w:t>
      </w:r>
      <w:r>
        <w:rPr>
          <w:rFonts w:cs="Arial"/>
        </w:rPr>
        <w:t xml:space="preserve"> (as set out in the method statements)</w:t>
      </w:r>
      <w:r w:rsidRPr="00BC0701">
        <w:rPr>
          <w:rFonts w:cs="Arial"/>
        </w:rPr>
        <w:t xml:space="preserve">.  As considerable operating experience has now been gained there will be an evidence base that will allow a quantitative assessment of the use of this “spare” capacity.  If a review of the past operational history reveals that this “headroom” has not been used it would be worthwhile exploring the opportunities for securing additional third party waste. If this spare capacity could be filled at a viable market rate this would provide additional third party income to </w:t>
      </w:r>
      <w:r>
        <w:rPr>
          <w:rFonts w:cs="Arial"/>
        </w:rPr>
        <w:t>the a</w:t>
      </w:r>
      <w:r w:rsidRPr="00BC0701">
        <w:rPr>
          <w:rFonts w:cs="Arial"/>
        </w:rPr>
        <w:t>uthority.</w:t>
      </w:r>
    </w:p>
    <w:p w:rsidR="004F3EFC" w:rsidRPr="00BC0701" w:rsidRDefault="004F3EFC" w:rsidP="004F3EFC">
      <w:pPr>
        <w:rPr>
          <w:rFonts w:cs="Arial"/>
        </w:rPr>
      </w:pPr>
      <w:r w:rsidRPr="00BC0701">
        <w:rPr>
          <w:rFonts w:cs="Arial"/>
        </w:rPr>
        <w:t>There will be additional costs associated with this initiative, in particular this will mean that essential maint</w:t>
      </w:r>
      <w:r>
        <w:rPr>
          <w:rFonts w:cs="Arial"/>
        </w:rPr>
        <w:t xml:space="preserve">enance and cleaning activities </w:t>
      </w:r>
      <w:r w:rsidRPr="00BC0701">
        <w:rPr>
          <w:rFonts w:cs="Arial"/>
        </w:rPr>
        <w:t>will probably have to be scheduled in around the increased operating hours. This could mean that these activities will have to be performed out of hours</w:t>
      </w:r>
      <w:r>
        <w:rPr>
          <w:rFonts w:cs="Arial"/>
        </w:rPr>
        <w:t>,</w:t>
      </w:r>
      <w:r w:rsidRPr="00BC0701">
        <w:rPr>
          <w:rFonts w:cs="Arial"/>
        </w:rPr>
        <w:t xml:space="preserve"> </w:t>
      </w:r>
      <w:r>
        <w:rPr>
          <w:rFonts w:cs="Arial"/>
        </w:rPr>
        <w:t>which will</w:t>
      </w:r>
      <w:r w:rsidRPr="00BC0701">
        <w:rPr>
          <w:rFonts w:cs="Arial"/>
        </w:rPr>
        <w:t xml:space="preserve"> </w:t>
      </w:r>
      <w:r>
        <w:rPr>
          <w:rFonts w:cs="Arial"/>
        </w:rPr>
        <w:t>increase</w:t>
      </w:r>
      <w:r w:rsidRPr="00BC0701">
        <w:rPr>
          <w:rFonts w:cs="Arial"/>
        </w:rPr>
        <w:t xml:space="preserve"> operating costs.  An alternative would be to extend the operating hours such that the plants operate on a 3-shift system. Adding a 3</w:t>
      </w:r>
      <w:r w:rsidRPr="00BC0701">
        <w:rPr>
          <w:rFonts w:cs="Arial"/>
          <w:vertAlign w:val="superscript"/>
        </w:rPr>
        <w:t>rd</w:t>
      </w:r>
      <w:r w:rsidRPr="00BC0701">
        <w:rPr>
          <w:rFonts w:cs="Arial"/>
        </w:rPr>
        <w:t xml:space="preserve"> shift is rarely as cost effective, as the lost time for maintenance and cleaning leads to inefficiencies </w:t>
      </w:r>
      <w:r>
        <w:rPr>
          <w:rFonts w:cs="Arial"/>
        </w:rPr>
        <w:t>but</w:t>
      </w:r>
      <w:r w:rsidRPr="00BC0701">
        <w:rPr>
          <w:rFonts w:cs="Arial"/>
        </w:rPr>
        <w:t xml:space="preserve"> the additional staffing would add up to 50-75kpta to the capacity of the facilities.  The revenue derived from this depends on the gate fee that might be secured for this waste and the value of the recyclates, given the uncertainties it is impossible to be precise on this but assuming net revenue to the authority of £10-20/t would place the additional revenue between £500k and £1,500k/a</w:t>
      </w:r>
    </w:p>
    <w:p w:rsidR="004F3EFC" w:rsidRPr="00BC0701" w:rsidRDefault="004F3EFC" w:rsidP="008B5D7A">
      <w:pPr>
        <w:pStyle w:val="Heading4"/>
        <w:keepLines w:val="0"/>
        <w:numPr>
          <w:ilvl w:val="3"/>
          <w:numId w:val="6"/>
        </w:numPr>
        <w:spacing w:after="60" w:line="276" w:lineRule="auto"/>
        <w:rPr>
          <w:rFonts w:cs="Arial"/>
        </w:rPr>
      </w:pPr>
      <w:r w:rsidRPr="00BC0701">
        <w:rPr>
          <w:rFonts w:cs="Arial"/>
        </w:rPr>
        <w:t>Summary Plastics Separation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946"/>
        <w:gridCol w:w="2018"/>
        <w:gridCol w:w="1647"/>
        <w:gridCol w:w="1647"/>
      </w:tblGrid>
      <w:tr w:rsidR="004F3EFC" w:rsidRPr="00BC0701" w:rsidTr="004F3EFC">
        <w:tc>
          <w:tcPr>
            <w:tcW w:w="1984" w:type="dxa"/>
            <w:shd w:val="pct20" w:color="auto" w:fill="auto"/>
          </w:tcPr>
          <w:p w:rsidR="004F3EFC" w:rsidRPr="00BC0701" w:rsidRDefault="004F3EFC" w:rsidP="004F3EFC">
            <w:pPr>
              <w:jc w:val="both"/>
              <w:rPr>
                <w:rFonts w:eastAsia="MS Mincho" w:cs="Arial"/>
              </w:rPr>
            </w:pPr>
            <w:r w:rsidRPr="00BC0701">
              <w:rPr>
                <w:rFonts w:eastAsia="MS Mincho" w:cs="Arial"/>
              </w:rPr>
              <w:t>Saving opportunity descriptor</w:t>
            </w:r>
          </w:p>
        </w:tc>
        <w:tc>
          <w:tcPr>
            <w:tcW w:w="1946" w:type="dxa"/>
            <w:shd w:val="pct20" w:color="auto" w:fill="auto"/>
          </w:tcPr>
          <w:p w:rsidR="004F3EFC" w:rsidRPr="00BC0701" w:rsidRDefault="004F3EFC" w:rsidP="004F3EFC">
            <w:pPr>
              <w:jc w:val="both"/>
              <w:rPr>
                <w:rFonts w:eastAsia="MS Mincho" w:cs="Arial"/>
              </w:rPr>
            </w:pPr>
            <w:r w:rsidRPr="00BC0701">
              <w:rPr>
                <w:rFonts w:eastAsia="MS Mincho" w:cs="Arial"/>
              </w:rPr>
              <w:t>Periodicity</w:t>
            </w:r>
          </w:p>
        </w:tc>
        <w:tc>
          <w:tcPr>
            <w:tcW w:w="2018" w:type="dxa"/>
            <w:shd w:val="pct20" w:color="auto" w:fill="auto"/>
          </w:tcPr>
          <w:p w:rsidR="004F3EFC" w:rsidRPr="00BC0701" w:rsidRDefault="004F3EFC" w:rsidP="004F3EFC">
            <w:pPr>
              <w:jc w:val="both"/>
              <w:rPr>
                <w:rFonts w:eastAsia="MS Mincho" w:cs="Arial"/>
              </w:rPr>
            </w:pPr>
            <w:r w:rsidRPr="00BC0701">
              <w:rPr>
                <w:rFonts w:eastAsia="MS Mincho" w:cs="Arial"/>
              </w:rPr>
              <w:t>Invest to Save Requirement (2015/16 prices)</w:t>
            </w:r>
          </w:p>
        </w:tc>
        <w:tc>
          <w:tcPr>
            <w:tcW w:w="1647" w:type="dxa"/>
            <w:shd w:val="pct20" w:color="auto" w:fill="auto"/>
          </w:tcPr>
          <w:p w:rsidR="004F3EFC" w:rsidRPr="00BC0701" w:rsidRDefault="004F3EFC" w:rsidP="004F3EFC">
            <w:pPr>
              <w:jc w:val="both"/>
              <w:rPr>
                <w:rFonts w:eastAsia="MS Mincho" w:cs="Arial"/>
              </w:rPr>
            </w:pPr>
            <w:r w:rsidRPr="00BC0701">
              <w:rPr>
                <w:rFonts w:eastAsia="MS Mincho" w:cs="Arial"/>
              </w:rPr>
              <w:t>Opex Saving (2015/16 prices)</w:t>
            </w:r>
          </w:p>
        </w:tc>
        <w:tc>
          <w:tcPr>
            <w:tcW w:w="1647" w:type="dxa"/>
            <w:shd w:val="pct20" w:color="auto" w:fill="auto"/>
          </w:tcPr>
          <w:p w:rsidR="004F3EFC" w:rsidRPr="00BC0701" w:rsidRDefault="004F3EFC" w:rsidP="004F3EFC">
            <w:pPr>
              <w:jc w:val="both"/>
              <w:rPr>
                <w:rFonts w:eastAsia="MS Mincho" w:cs="Arial"/>
              </w:rPr>
            </w:pPr>
            <w:r w:rsidRPr="00BC0701">
              <w:rPr>
                <w:rFonts w:eastAsia="MS Mincho" w:cs="Arial"/>
              </w:rPr>
              <w:t>Capex Saving (2015/16 prices)</w:t>
            </w:r>
          </w:p>
        </w:tc>
      </w:tr>
      <w:tr w:rsidR="004F3EFC" w:rsidRPr="00BC0701" w:rsidTr="004F3EFC">
        <w:tc>
          <w:tcPr>
            <w:tcW w:w="1984" w:type="dxa"/>
            <w:shd w:val="clear" w:color="auto" w:fill="auto"/>
          </w:tcPr>
          <w:p w:rsidR="004F3EFC" w:rsidRPr="00BC0701" w:rsidRDefault="004F3EFC" w:rsidP="004F3EFC">
            <w:pPr>
              <w:jc w:val="both"/>
              <w:rPr>
                <w:rFonts w:eastAsia="MS Mincho" w:cs="Arial"/>
              </w:rPr>
            </w:pPr>
            <w:r w:rsidRPr="00BC0701">
              <w:rPr>
                <w:rFonts w:eastAsia="MS Mincho" w:cs="Arial"/>
              </w:rPr>
              <w:t xml:space="preserve">Adding MRF </w:t>
            </w:r>
            <w:r w:rsidRPr="00BC0701">
              <w:rPr>
                <w:rFonts w:eastAsia="MS Mincho" w:cs="Arial"/>
              </w:rPr>
              <w:lastRenderedPageBreak/>
              <w:t>polymer separation</w:t>
            </w:r>
          </w:p>
        </w:tc>
        <w:tc>
          <w:tcPr>
            <w:tcW w:w="1946" w:type="dxa"/>
            <w:shd w:val="clear" w:color="auto" w:fill="auto"/>
          </w:tcPr>
          <w:p w:rsidR="004F3EFC" w:rsidRPr="00BC0701" w:rsidRDefault="004F3EFC" w:rsidP="004F3EFC">
            <w:pPr>
              <w:jc w:val="both"/>
              <w:rPr>
                <w:rFonts w:eastAsia="MS Mincho" w:cs="Arial"/>
              </w:rPr>
            </w:pPr>
            <w:r w:rsidRPr="00BC0701">
              <w:rPr>
                <w:rFonts w:eastAsia="MS Mincho" w:cs="Arial"/>
              </w:rPr>
              <w:lastRenderedPageBreak/>
              <w:t>Annual</w:t>
            </w:r>
          </w:p>
        </w:tc>
        <w:tc>
          <w:tcPr>
            <w:tcW w:w="2018" w:type="dxa"/>
            <w:shd w:val="clear" w:color="auto" w:fill="auto"/>
          </w:tcPr>
          <w:p w:rsidR="004F3EFC" w:rsidRPr="00BC0701" w:rsidRDefault="004F3EFC" w:rsidP="004F3EFC">
            <w:pPr>
              <w:jc w:val="both"/>
              <w:rPr>
                <w:rFonts w:eastAsia="MS Mincho" w:cs="Arial"/>
              </w:rPr>
            </w:pPr>
            <w:r w:rsidRPr="00BC0701">
              <w:rPr>
                <w:rFonts w:eastAsia="MS Mincho" w:cs="Arial"/>
              </w:rPr>
              <w:t xml:space="preserve">To be evaluated </w:t>
            </w:r>
            <w:proofErr w:type="spellStart"/>
            <w:r w:rsidRPr="00BC0701">
              <w:rPr>
                <w:rFonts w:eastAsia="MS Mincho" w:cs="Arial"/>
              </w:rPr>
              <w:t>est</w:t>
            </w:r>
            <w:proofErr w:type="spellEnd"/>
            <w:r w:rsidRPr="00BC0701">
              <w:rPr>
                <w:rFonts w:eastAsia="MS Mincho" w:cs="Arial"/>
              </w:rPr>
              <w:t xml:space="preserve"> </w:t>
            </w:r>
            <w:r w:rsidRPr="00BC0701">
              <w:rPr>
                <w:rFonts w:eastAsia="MS Mincho" w:cs="Arial"/>
              </w:rPr>
              <w:lastRenderedPageBreak/>
              <w:t>£500k-£1.5m</w:t>
            </w:r>
          </w:p>
        </w:tc>
        <w:tc>
          <w:tcPr>
            <w:tcW w:w="1647" w:type="dxa"/>
            <w:shd w:val="clear" w:color="auto" w:fill="auto"/>
          </w:tcPr>
          <w:p w:rsidR="004F3EFC" w:rsidRPr="00BC0701" w:rsidRDefault="004F3EFC" w:rsidP="004F3EFC">
            <w:pPr>
              <w:jc w:val="both"/>
              <w:rPr>
                <w:rFonts w:eastAsia="MS Mincho" w:cs="Arial"/>
              </w:rPr>
            </w:pPr>
            <w:r w:rsidRPr="00BC0701">
              <w:rPr>
                <w:rFonts w:eastAsia="MS Mincho" w:cs="Arial"/>
              </w:rPr>
              <w:lastRenderedPageBreak/>
              <w:t>£0 -£1m</w:t>
            </w:r>
          </w:p>
        </w:tc>
        <w:tc>
          <w:tcPr>
            <w:tcW w:w="1647" w:type="dxa"/>
            <w:shd w:val="clear" w:color="auto" w:fill="auto"/>
          </w:tcPr>
          <w:p w:rsidR="004F3EFC" w:rsidRPr="00BC0701" w:rsidRDefault="004F3EFC" w:rsidP="004F3EFC">
            <w:pPr>
              <w:jc w:val="both"/>
              <w:rPr>
                <w:rFonts w:eastAsia="MS Mincho" w:cs="Arial"/>
              </w:rPr>
            </w:pPr>
          </w:p>
        </w:tc>
      </w:tr>
    </w:tbl>
    <w:p w:rsidR="004F3EFC" w:rsidRPr="00BC0701" w:rsidRDefault="004F3EFC" w:rsidP="004F3EFC">
      <w:pPr>
        <w:rPr>
          <w:rFonts w:cs="Arial"/>
          <w:b/>
        </w:rPr>
      </w:pPr>
      <w:r w:rsidRPr="00BC0701">
        <w:rPr>
          <w:rFonts w:cs="Arial"/>
          <w:noProof/>
          <w:lang w:val="en-US" w:eastAsia="en-US"/>
        </w:rPr>
        <w:lastRenderedPageBreak/>
        <w:drawing>
          <wp:anchor distT="0" distB="0" distL="114300" distR="114300" simplePos="0" relativeHeight="251668480" behindDoc="1" locked="0" layoutInCell="1" allowOverlap="1" wp14:anchorId="37C5D198" wp14:editId="3B0689A3">
            <wp:simplePos x="0" y="0"/>
            <wp:positionH relativeFrom="column">
              <wp:posOffset>5061585</wp:posOffset>
            </wp:positionH>
            <wp:positionV relativeFrom="paragraph">
              <wp:posOffset>100330</wp:posOffset>
            </wp:positionV>
            <wp:extent cx="770255" cy="1261745"/>
            <wp:effectExtent l="0" t="0" r="0" b="8255"/>
            <wp:wrapTight wrapText="bothSides">
              <wp:wrapPolygon edited="0">
                <wp:start x="712" y="0"/>
                <wp:lineTo x="0" y="3913"/>
                <wp:lineTo x="0" y="21306"/>
                <wp:lineTo x="20656" y="21306"/>
                <wp:lineTo x="20656" y="3913"/>
                <wp:lineTo x="19232" y="0"/>
                <wp:lineTo x="712"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70255" cy="1261745"/>
                    </a:xfrm>
                    <a:prstGeom prst="rect">
                      <a:avLst/>
                    </a:prstGeom>
                    <a:noFill/>
                  </pic:spPr>
                </pic:pic>
              </a:graphicData>
            </a:graphic>
            <wp14:sizeRelH relativeFrom="page">
              <wp14:pctWidth>0</wp14:pctWidth>
            </wp14:sizeRelH>
            <wp14:sizeRelV relativeFrom="page">
              <wp14:pctHeight>0</wp14:pctHeight>
            </wp14:sizeRelV>
          </wp:anchor>
        </w:drawing>
      </w:r>
      <w:r w:rsidRPr="00BC0701">
        <w:rPr>
          <w:rFonts w:cs="Arial"/>
          <w:b/>
        </w:rPr>
        <w:t>Description</w:t>
      </w:r>
    </w:p>
    <w:p w:rsidR="004F3EFC" w:rsidRPr="00BC0701" w:rsidRDefault="004F3EFC" w:rsidP="004F3EFC">
      <w:pPr>
        <w:rPr>
          <w:rFonts w:cs="Arial"/>
        </w:rPr>
      </w:pPr>
      <w:r w:rsidRPr="00BC0701">
        <w:rPr>
          <w:rFonts w:cs="Arial"/>
        </w:rPr>
        <w:t xml:space="preserve">Introducing </w:t>
      </w:r>
      <w:proofErr w:type="gramStart"/>
      <w:r w:rsidRPr="00BC0701">
        <w:rPr>
          <w:rFonts w:cs="Arial"/>
        </w:rPr>
        <w:t>specialist sorting</w:t>
      </w:r>
      <w:proofErr w:type="gramEnd"/>
      <w:r w:rsidRPr="00BC0701">
        <w:rPr>
          <w:rFonts w:cs="Arial"/>
        </w:rPr>
        <w:t xml:space="preserve"> equipment to separate individual plastics. Given movements in material prices it may be beneficial to install additional polymer separation to gain added value from selling individual polymer materials against a mixed plastics fraction.  </w:t>
      </w:r>
    </w:p>
    <w:p w:rsidR="004F3EFC" w:rsidRPr="00BC0701" w:rsidRDefault="004F3EFC" w:rsidP="004F3EFC">
      <w:pPr>
        <w:rPr>
          <w:rFonts w:cs="Arial"/>
          <w:b/>
        </w:rPr>
      </w:pPr>
      <w:r w:rsidRPr="00BC0701">
        <w:rPr>
          <w:rFonts w:cs="Arial"/>
          <w:b/>
        </w:rPr>
        <w:t>Status</w:t>
      </w:r>
    </w:p>
    <w:p w:rsidR="004F3EFC" w:rsidRPr="00BC0701" w:rsidRDefault="004F3EFC" w:rsidP="004F3EFC">
      <w:pPr>
        <w:rPr>
          <w:rFonts w:cs="Arial"/>
        </w:rPr>
      </w:pPr>
      <w:r w:rsidRPr="00BC0701">
        <w:rPr>
          <w:rFonts w:cs="Arial"/>
        </w:rPr>
        <w:t>Investigate Further: The costs for the new equipment have come down since the start of the contract and the differential between mixed plastics and individual polymers has increased and thus may have made it worthwhile to provide the added separation in house.  An evaluation is required to test the costs and potential income from this approach.</w:t>
      </w:r>
    </w:p>
    <w:p w:rsidR="004F3EFC" w:rsidRPr="00BC0701" w:rsidRDefault="004F3EFC" w:rsidP="004F3EFC">
      <w:pPr>
        <w:rPr>
          <w:rFonts w:cs="Arial"/>
          <w:b/>
        </w:rPr>
      </w:pPr>
      <w:r w:rsidRPr="00BC0701">
        <w:rPr>
          <w:rFonts w:cs="Arial"/>
          <w:b/>
        </w:rPr>
        <w:t>Assumptions</w:t>
      </w:r>
    </w:p>
    <w:p w:rsidR="004F3EFC" w:rsidRPr="00BC0701" w:rsidRDefault="004F3EFC" w:rsidP="004F3EFC">
      <w:pPr>
        <w:rPr>
          <w:rFonts w:cs="Arial"/>
        </w:rPr>
      </w:pPr>
      <w:r w:rsidRPr="00BC0701">
        <w:rPr>
          <w:rFonts w:cs="Arial"/>
        </w:rPr>
        <w:t>The costs for implementing the process changes is based on 1-3 additional NIR separators and associated machinery and the value of the product is based on the cost benefit of individual polymers over a mixed polymer fraction of between £20 and £120 /t reflecting the range seen in the data above.  The throughput of the MRF is assumed to be 100ktpa and 10% of the recyclate fraction is assumed to be plastics.</w:t>
      </w:r>
    </w:p>
    <w:p w:rsidR="004F3EFC" w:rsidRPr="00BC0701" w:rsidRDefault="004F3EFC" w:rsidP="004F3EFC">
      <w:pPr>
        <w:rPr>
          <w:rFonts w:cs="Arial"/>
          <w:b/>
        </w:rPr>
      </w:pPr>
      <w:r w:rsidRPr="00BC0701">
        <w:rPr>
          <w:rFonts w:cs="Arial"/>
          <w:b/>
        </w:rPr>
        <w:t>Key Considerations</w:t>
      </w:r>
    </w:p>
    <w:p w:rsidR="004F3EFC" w:rsidRPr="00BC0701" w:rsidRDefault="004F3EFC" w:rsidP="004F3EFC">
      <w:pPr>
        <w:rPr>
          <w:rFonts w:cs="Arial"/>
        </w:rPr>
      </w:pPr>
      <w:r w:rsidRPr="00BC0701">
        <w:rPr>
          <w:rFonts w:cs="Arial"/>
        </w:rPr>
        <w:t>The key risks are that whilst oil prices are low the differential improves but this is a volatile market and other factors also influence the prices and this price differential could change.  The remaining life of the project also places a constraint, as any improvement has to be viable within the remaining life of the contract.  Thirdly whilst additional space was allowed for in the design, this may have been occupied by other activities since the start of the project and the technical requirements allowed for originally may not be valid for the current new sorting machines.</w:t>
      </w:r>
    </w:p>
    <w:p w:rsidR="004F3EFC" w:rsidRPr="00BC0701" w:rsidRDefault="004F3EFC" w:rsidP="008B5D7A">
      <w:pPr>
        <w:pStyle w:val="Heading4"/>
        <w:keepLines w:val="0"/>
        <w:numPr>
          <w:ilvl w:val="3"/>
          <w:numId w:val="6"/>
        </w:numPr>
        <w:spacing w:after="60" w:line="276" w:lineRule="auto"/>
        <w:rPr>
          <w:rFonts w:cs="Arial"/>
        </w:rPr>
      </w:pPr>
      <w:r w:rsidRPr="00BC0701">
        <w:rPr>
          <w:rFonts w:cs="Arial"/>
        </w:rPr>
        <w:t>Summary Third Party Input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946"/>
        <w:gridCol w:w="2018"/>
        <w:gridCol w:w="1647"/>
        <w:gridCol w:w="1647"/>
      </w:tblGrid>
      <w:tr w:rsidR="004F3EFC" w:rsidRPr="00BC0701" w:rsidTr="004F3EFC">
        <w:tc>
          <w:tcPr>
            <w:tcW w:w="1984" w:type="dxa"/>
            <w:shd w:val="pct20" w:color="auto" w:fill="auto"/>
          </w:tcPr>
          <w:p w:rsidR="004F3EFC" w:rsidRPr="00BC0701" w:rsidRDefault="004F3EFC" w:rsidP="004F3EFC">
            <w:pPr>
              <w:jc w:val="both"/>
              <w:rPr>
                <w:rFonts w:eastAsia="MS Mincho" w:cs="Arial"/>
              </w:rPr>
            </w:pPr>
            <w:r w:rsidRPr="00BC0701">
              <w:rPr>
                <w:rFonts w:eastAsia="MS Mincho" w:cs="Arial"/>
              </w:rPr>
              <w:t>Saving opportunity descriptor</w:t>
            </w:r>
          </w:p>
        </w:tc>
        <w:tc>
          <w:tcPr>
            <w:tcW w:w="1946" w:type="dxa"/>
            <w:shd w:val="pct20" w:color="auto" w:fill="auto"/>
          </w:tcPr>
          <w:p w:rsidR="004F3EFC" w:rsidRPr="00BC0701" w:rsidRDefault="004F3EFC" w:rsidP="004F3EFC">
            <w:pPr>
              <w:jc w:val="both"/>
              <w:rPr>
                <w:rFonts w:eastAsia="MS Mincho" w:cs="Arial"/>
              </w:rPr>
            </w:pPr>
            <w:r w:rsidRPr="00BC0701">
              <w:rPr>
                <w:rFonts w:eastAsia="MS Mincho" w:cs="Arial"/>
              </w:rPr>
              <w:t>Periodicity</w:t>
            </w:r>
          </w:p>
        </w:tc>
        <w:tc>
          <w:tcPr>
            <w:tcW w:w="2018" w:type="dxa"/>
            <w:shd w:val="pct20" w:color="auto" w:fill="auto"/>
          </w:tcPr>
          <w:p w:rsidR="004F3EFC" w:rsidRPr="00BC0701" w:rsidRDefault="004F3EFC" w:rsidP="004F3EFC">
            <w:pPr>
              <w:jc w:val="both"/>
              <w:rPr>
                <w:rFonts w:eastAsia="MS Mincho" w:cs="Arial"/>
              </w:rPr>
            </w:pPr>
            <w:r w:rsidRPr="00BC0701">
              <w:rPr>
                <w:rFonts w:eastAsia="MS Mincho" w:cs="Arial"/>
              </w:rPr>
              <w:t>Invest to Save Requirement (2015/16 prices)</w:t>
            </w:r>
          </w:p>
        </w:tc>
        <w:tc>
          <w:tcPr>
            <w:tcW w:w="1647" w:type="dxa"/>
            <w:shd w:val="pct20" w:color="auto" w:fill="auto"/>
          </w:tcPr>
          <w:p w:rsidR="004F3EFC" w:rsidRPr="00BC0701" w:rsidRDefault="004F3EFC" w:rsidP="004F3EFC">
            <w:pPr>
              <w:jc w:val="both"/>
              <w:rPr>
                <w:rFonts w:eastAsia="MS Mincho" w:cs="Arial"/>
              </w:rPr>
            </w:pPr>
            <w:r w:rsidRPr="00BC0701">
              <w:rPr>
                <w:rFonts w:eastAsia="MS Mincho" w:cs="Arial"/>
              </w:rPr>
              <w:t>Opex Saving (2015/16 prices)</w:t>
            </w:r>
          </w:p>
        </w:tc>
        <w:tc>
          <w:tcPr>
            <w:tcW w:w="1647" w:type="dxa"/>
            <w:shd w:val="pct20" w:color="auto" w:fill="auto"/>
          </w:tcPr>
          <w:p w:rsidR="004F3EFC" w:rsidRPr="00BC0701" w:rsidRDefault="004F3EFC" w:rsidP="004F3EFC">
            <w:pPr>
              <w:jc w:val="both"/>
              <w:rPr>
                <w:rFonts w:eastAsia="MS Mincho" w:cs="Arial"/>
              </w:rPr>
            </w:pPr>
            <w:r w:rsidRPr="00BC0701">
              <w:rPr>
                <w:rFonts w:eastAsia="MS Mincho" w:cs="Arial"/>
              </w:rPr>
              <w:t>Capex Saving (2015/16 prices)</w:t>
            </w:r>
          </w:p>
        </w:tc>
      </w:tr>
      <w:tr w:rsidR="004F3EFC" w:rsidRPr="00BC0701" w:rsidTr="004F3EFC">
        <w:tc>
          <w:tcPr>
            <w:tcW w:w="1984" w:type="dxa"/>
            <w:shd w:val="clear" w:color="auto" w:fill="auto"/>
          </w:tcPr>
          <w:p w:rsidR="004F3EFC" w:rsidRPr="00BC0701" w:rsidRDefault="004F3EFC" w:rsidP="004F3EFC">
            <w:pPr>
              <w:jc w:val="both"/>
              <w:rPr>
                <w:rFonts w:eastAsia="MS Mincho" w:cs="Arial"/>
              </w:rPr>
            </w:pPr>
            <w:r w:rsidRPr="00BC0701">
              <w:rPr>
                <w:rFonts w:eastAsia="MS Mincho" w:cs="Arial"/>
              </w:rPr>
              <w:t>Additional MRF capacity</w:t>
            </w:r>
          </w:p>
        </w:tc>
        <w:tc>
          <w:tcPr>
            <w:tcW w:w="1946" w:type="dxa"/>
            <w:shd w:val="clear" w:color="auto" w:fill="auto"/>
          </w:tcPr>
          <w:p w:rsidR="004F3EFC" w:rsidRPr="00BC0701" w:rsidRDefault="004F3EFC" w:rsidP="004F3EFC">
            <w:pPr>
              <w:jc w:val="both"/>
              <w:rPr>
                <w:rFonts w:eastAsia="MS Mincho" w:cs="Arial"/>
              </w:rPr>
            </w:pPr>
            <w:r w:rsidRPr="00BC0701">
              <w:rPr>
                <w:rFonts w:eastAsia="MS Mincho" w:cs="Arial"/>
              </w:rPr>
              <w:t>Annual</w:t>
            </w:r>
          </w:p>
        </w:tc>
        <w:tc>
          <w:tcPr>
            <w:tcW w:w="2018" w:type="dxa"/>
            <w:shd w:val="clear" w:color="auto" w:fill="auto"/>
          </w:tcPr>
          <w:p w:rsidR="004F3EFC" w:rsidRPr="00BC0701" w:rsidRDefault="004F3EFC" w:rsidP="004F3EFC">
            <w:pPr>
              <w:jc w:val="both"/>
              <w:rPr>
                <w:rFonts w:eastAsia="MS Mincho" w:cs="Arial"/>
              </w:rPr>
            </w:pPr>
            <w:proofErr w:type="gramStart"/>
            <w:r w:rsidRPr="00BC0701">
              <w:rPr>
                <w:rFonts w:eastAsia="MS Mincho" w:cs="Arial"/>
              </w:rPr>
              <w:t>none</w:t>
            </w:r>
            <w:proofErr w:type="gramEnd"/>
          </w:p>
        </w:tc>
        <w:tc>
          <w:tcPr>
            <w:tcW w:w="1647" w:type="dxa"/>
            <w:shd w:val="clear" w:color="auto" w:fill="auto"/>
          </w:tcPr>
          <w:p w:rsidR="004F3EFC" w:rsidRPr="00BC0701" w:rsidRDefault="004F3EFC" w:rsidP="004F3EFC">
            <w:pPr>
              <w:jc w:val="both"/>
              <w:rPr>
                <w:rFonts w:eastAsia="MS Mincho" w:cs="Arial"/>
              </w:rPr>
            </w:pPr>
            <w:r w:rsidRPr="00BC0701">
              <w:rPr>
                <w:rFonts w:eastAsia="MS Mincho" w:cs="Arial"/>
              </w:rPr>
              <w:t>£500k-£1.5m</w:t>
            </w:r>
          </w:p>
        </w:tc>
        <w:tc>
          <w:tcPr>
            <w:tcW w:w="1647" w:type="dxa"/>
            <w:shd w:val="clear" w:color="auto" w:fill="auto"/>
          </w:tcPr>
          <w:p w:rsidR="004F3EFC" w:rsidRPr="00BC0701" w:rsidRDefault="004F3EFC" w:rsidP="004F3EFC">
            <w:pPr>
              <w:jc w:val="both"/>
              <w:rPr>
                <w:rFonts w:eastAsia="MS Mincho" w:cs="Arial"/>
              </w:rPr>
            </w:pPr>
          </w:p>
        </w:tc>
      </w:tr>
    </w:tbl>
    <w:p w:rsidR="004F3EFC" w:rsidRPr="00BC0701" w:rsidRDefault="004F3EFC" w:rsidP="004F3EFC">
      <w:pPr>
        <w:rPr>
          <w:rFonts w:cs="Arial"/>
        </w:rPr>
      </w:pPr>
      <w:r w:rsidRPr="00BC0701">
        <w:rPr>
          <w:rFonts w:cs="Arial"/>
          <w:noProof/>
          <w:lang w:val="en-US" w:eastAsia="en-US"/>
        </w:rPr>
        <w:drawing>
          <wp:anchor distT="0" distB="0" distL="114300" distR="114300" simplePos="0" relativeHeight="251669504" behindDoc="1" locked="0" layoutInCell="1" allowOverlap="1" wp14:anchorId="04DB0EC1" wp14:editId="62D1C21A">
            <wp:simplePos x="0" y="0"/>
            <wp:positionH relativeFrom="column">
              <wp:posOffset>5024755</wp:posOffset>
            </wp:positionH>
            <wp:positionV relativeFrom="paragraph">
              <wp:posOffset>392430</wp:posOffset>
            </wp:positionV>
            <wp:extent cx="770255" cy="1261745"/>
            <wp:effectExtent l="0" t="0" r="0" b="8255"/>
            <wp:wrapTight wrapText="bothSides">
              <wp:wrapPolygon edited="0">
                <wp:start x="712" y="0"/>
                <wp:lineTo x="0" y="3913"/>
                <wp:lineTo x="0" y="21306"/>
                <wp:lineTo x="20656" y="21306"/>
                <wp:lineTo x="20656" y="3913"/>
                <wp:lineTo x="19232" y="0"/>
                <wp:lineTo x="712"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70255" cy="1261745"/>
                    </a:xfrm>
                    <a:prstGeom prst="rect">
                      <a:avLst/>
                    </a:prstGeom>
                    <a:noFill/>
                  </pic:spPr>
                </pic:pic>
              </a:graphicData>
            </a:graphic>
            <wp14:sizeRelH relativeFrom="page">
              <wp14:pctWidth>0</wp14:pctWidth>
            </wp14:sizeRelH>
            <wp14:sizeRelV relativeFrom="page">
              <wp14:pctHeight>0</wp14:pctHeight>
            </wp14:sizeRelV>
          </wp:anchor>
        </w:drawing>
      </w:r>
    </w:p>
    <w:p w:rsidR="004F3EFC" w:rsidRPr="00BC0701" w:rsidRDefault="004F3EFC" w:rsidP="004F3EFC">
      <w:pPr>
        <w:rPr>
          <w:rFonts w:cs="Arial"/>
          <w:b/>
        </w:rPr>
      </w:pPr>
      <w:r w:rsidRPr="00BC0701">
        <w:rPr>
          <w:rFonts w:cs="Arial"/>
          <w:b/>
        </w:rPr>
        <w:t>Description</w:t>
      </w:r>
    </w:p>
    <w:p w:rsidR="004F3EFC" w:rsidRPr="00BC0701" w:rsidRDefault="004F3EFC" w:rsidP="004F3EFC">
      <w:pPr>
        <w:rPr>
          <w:rFonts w:cs="Arial"/>
        </w:rPr>
      </w:pPr>
      <w:r w:rsidRPr="00BC0701">
        <w:rPr>
          <w:rFonts w:cs="Arial"/>
        </w:rPr>
        <w:t xml:space="preserve">Expanding the capacity of the MRFs by increasing the operational hours may be possible as the original contract allowed for 20% spare capacity.  This will allow third party inputs of </w:t>
      </w:r>
      <w:proofErr w:type="spellStart"/>
      <w:r w:rsidRPr="00BC0701">
        <w:rPr>
          <w:rFonts w:cs="Arial"/>
        </w:rPr>
        <w:t>recylate</w:t>
      </w:r>
      <w:proofErr w:type="spellEnd"/>
      <w:r w:rsidRPr="00BC0701">
        <w:rPr>
          <w:rFonts w:cs="Arial"/>
        </w:rPr>
        <w:t xml:space="preserve"> and the associated income from this.</w:t>
      </w:r>
    </w:p>
    <w:p w:rsidR="004F3EFC" w:rsidRPr="00BC0701" w:rsidRDefault="004F3EFC" w:rsidP="004F3EFC">
      <w:pPr>
        <w:rPr>
          <w:rFonts w:cs="Arial"/>
          <w:b/>
        </w:rPr>
      </w:pPr>
      <w:r w:rsidRPr="00BC0701">
        <w:rPr>
          <w:rFonts w:cs="Arial"/>
          <w:b/>
        </w:rPr>
        <w:t>Status</w:t>
      </w:r>
    </w:p>
    <w:p w:rsidR="004F3EFC" w:rsidRPr="00BC0701" w:rsidRDefault="004F3EFC" w:rsidP="004F3EFC">
      <w:pPr>
        <w:rPr>
          <w:rFonts w:cs="Arial"/>
        </w:rPr>
      </w:pPr>
      <w:r w:rsidRPr="00BC0701">
        <w:rPr>
          <w:rFonts w:cs="Arial"/>
        </w:rPr>
        <w:t>Investigate Further: There is value in exploring the scope and cost for treating additional capacity within the existing MRFs and the potential and market price for 3</w:t>
      </w:r>
      <w:r w:rsidRPr="00BC0701">
        <w:rPr>
          <w:rFonts w:cs="Arial"/>
          <w:vertAlign w:val="superscript"/>
        </w:rPr>
        <w:t>rd</w:t>
      </w:r>
      <w:r w:rsidRPr="00BC0701">
        <w:rPr>
          <w:rFonts w:cs="Arial"/>
        </w:rPr>
        <w:t xml:space="preserve"> party recyclate streams that may be available in the market.</w:t>
      </w:r>
    </w:p>
    <w:p w:rsidR="004F3EFC" w:rsidRPr="00BC0701" w:rsidRDefault="004F3EFC" w:rsidP="004F3EFC">
      <w:pPr>
        <w:rPr>
          <w:rFonts w:cs="Arial"/>
          <w:b/>
        </w:rPr>
      </w:pPr>
      <w:r w:rsidRPr="00BC0701">
        <w:rPr>
          <w:rFonts w:cs="Arial"/>
          <w:b/>
        </w:rPr>
        <w:t>Assumptions</w:t>
      </w:r>
    </w:p>
    <w:p w:rsidR="004F3EFC" w:rsidRPr="00BC0701" w:rsidRDefault="004F3EFC" w:rsidP="004F3EFC">
      <w:pPr>
        <w:rPr>
          <w:rFonts w:cs="Arial"/>
        </w:rPr>
      </w:pPr>
      <w:r w:rsidRPr="00BC0701">
        <w:rPr>
          <w:rFonts w:cs="Arial"/>
        </w:rPr>
        <w:t>Net revenue of between £10-£20/t with an additional 50-75ktpa processed.</w:t>
      </w:r>
    </w:p>
    <w:p w:rsidR="004F3EFC" w:rsidRPr="00BC0701" w:rsidRDefault="004F3EFC" w:rsidP="004F3EFC">
      <w:pPr>
        <w:rPr>
          <w:rFonts w:cs="Arial"/>
          <w:b/>
        </w:rPr>
      </w:pPr>
      <w:r w:rsidRPr="00BC0701">
        <w:rPr>
          <w:rFonts w:cs="Arial"/>
          <w:b/>
        </w:rPr>
        <w:t>Key Considerations</w:t>
      </w:r>
    </w:p>
    <w:p w:rsidR="004F3EFC" w:rsidRPr="00BC0701" w:rsidRDefault="004F3EFC" w:rsidP="004F3EFC">
      <w:pPr>
        <w:rPr>
          <w:rFonts w:cs="Arial"/>
        </w:rPr>
      </w:pPr>
      <w:r w:rsidRPr="00BC0701">
        <w:rPr>
          <w:rFonts w:cs="Arial"/>
        </w:rPr>
        <w:t xml:space="preserve">The expansion of the operating hours is possible but there are always requirements for cleaning and </w:t>
      </w:r>
      <w:proofErr w:type="gramStart"/>
      <w:r w:rsidRPr="00BC0701">
        <w:rPr>
          <w:rFonts w:cs="Arial"/>
        </w:rPr>
        <w:t>maintenance which will limit this</w:t>
      </w:r>
      <w:proofErr w:type="gramEnd"/>
      <w:r w:rsidRPr="00BC0701">
        <w:rPr>
          <w:rFonts w:cs="Arial"/>
        </w:rPr>
        <w:t xml:space="preserve"> potential.   Key issues are</w:t>
      </w:r>
    </w:p>
    <w:p w:rsidR="004F3EFC" w:rsidRPr="00BC0701" w:rsidRDefault="004F3EFC" w:rsidP="008B5D7A">
      <w:pPr>
        <w:pStyle w:val="ListParagraph"/>
        <w:numPr>
          <w:ilvl w:val="0"/>
          <w:numId w:val="11"/>
        </w:numPr>
        <w:spacing w:after="200" w:line="276" w:lineRule="auto"/>
        <w:contextualSpacing/>
      </w:pPr>
      <w:r w:rsidRPr="00BC0701">
        <w:t>Allowance for cleaning and maintenance impacting on operational time</w:t>
      </w:r>
    </w:p>
    <w:p w:rsidR="004F3EFC" w:rsidRPr="00BC0701" w:rsidRDefault="004F3EFC" w:rsidP="008B5D7A">
      <w:pPr>
        <w:pStyle w:val="ListParagraph"/>
        <w:numPr>
          <w:ilvl w:val="0"/>
          <w:numId w:val="11"/>
        </w:numPr>
        <w:spacing w:after="200" w:line="276" w:lineRule="auto"/>
        <w:contextualSpacing/>
      </w:pPr>
      <w:r w:rsidRPr="00BC0701">
        <w:t>Storage space for products and feedstock</w:t>
      </w:r>
    </w:p>
    <w:p w:rsidR="004F3EFC" w:rsidRPr="00BC0701" w:rsidRDefault="004F3EFC" w:rsidP="008B5D7A">
      <w:pPr>
        <w:pStyle w:val="ListParagraph"/>
        <w:numPr>
          <w:ilvl w:val="0"/>
          <w:numId w:val="11"/>
        </w:numPr>
        <w:spacing w:after="200" w:line="276" w:lineRule="auto"/>
        <w:contextualSpacing/>
      </w:pPr>
      <w:r w:rsidRPr="00BC0701">
        <w:t>Logistic issues of moving materials off site at night or weekends</w:t>
      </w:r>
    </w:p>
    <w:p w:rsidR="004F3EFC" w:rsidRPr="00BC0701" w:rsidRDefault="004F3EFC" w:rsidP="004F3EFC">
      <w:pPr>
        <w:rPr>
          <w:rFonts w:cs="Arial"/>
        </w:rPr>
      </w:pPr>
      <w:r w:rsidRPr="00BC0701">
        <w:rPr>
          <w:rFonts w:cs="Arial"/>
        </w:rPr>
        <w:lastRenderedPageBreak/>
        <w:t>.</w:t>
      </w:r>
    </w:p>
    <w:p w:rsidR="004F3EFC" w:rsidRPr="00BC0701" w:rsidRDefault="004F3EFC" w:rsidP="00CC277E">
      <w:pPr>
        <w:pStyle w:val="Heading3"/>
      </w:pPr>
      <w:bookmarkStart w:id="19" w:name="_Toc345073628"/>
      <w:bookmarkStart w:id="20" w:name="_Toc345073973"/>
      <w:r w:rsidRPr="00BC0701">
        <w:t>HWRC operation</w:t>
      </w:r>
      <w:bookmarkEnd w:id="19"/>
      <w:bookmarkEnd w:id="20"/>
    </w:p>
    <w:p w:rsidR="004F3EFC" w:rsidRPr="00BC0701" w:rsidRDefault="004F3EFC" w:rsidP="004F3EFC">
      <w:pPr>
        <w:rPr>
          <w:rFonts w:cs="Arial"/>
          <w:b/>
        </w:rPr>
      </w:pPr>
      <w:r w:rsidRPr="00BC0701">
        <w:rPr>
          <w:rFonts w:cs="Arial"/>
          <w:b/>
        </w:rPr>
        <w:t>HWRC opening hours</w:t>
      </w:r>
    </w:p>
    <w:p w:rsidR="004F3EFC" w:rsidRPr="00BC0701" w:rsidRDefault="004F3EFC" w:rsidP="004F3EFC">
      <w:pPr>
        <w:rPr>
          <w:rFonts w:cs="Arial"/>
        </w:rPr>
      </w:pPr>
      <w:r w:rsidRPr="00BC0701">
        <w:rPr>
          <w:rFonts w:cs="Arial"/>
        </w:rPr>
        <w:t>There are 16 HWRC sites operating in the area.  These sites open on an 8am till 8pm basis and accept a wide range of recyclate and other wastes brought in by the public.</w:t>
      </w:r>
    </w:p>
    <w:p w:rsidR="004F3EFC" w:rsidRPr="00BC0701" w:rsidRDefault="004F3EFC" w:rsidP="004F3EFC">
      <w:pPr>
        <w:rPr>
          <w:rFonts w:cs="Arial"/>
        </w:rPr>
      </w:pPr>
      <w:r w:rsidRPr="00BC0701">
        <w:rPr>
          <w:rFonts w:cs="Arial"/>
        </w:rPr>
        <w:t xml:space="preserve">The cost of the HWRC operation is made up of two components, firstly the waste that is collected and requires treatment or recycling and secondly from the staffing and operational requirements.  </w:t>
      </w:r>
    </w:p>
    <w:p w:rsidR="004F3EFC" w:rsidRPr="00BC0701" w:rsidRDefault="004F3EFC" w:rsidP="004F3EFC">
      <w:pPr>
        <w:rPr>
          <w:rFonts w:cs="Arial"/>
        </w:rPr>
      </w:pPr>
      <w:r w:rsidRPr="00BC0701">
        <w:rPr>
          <w:rFonts w:cs="Arial"/>
        </w:rPr>
        <w:t>Many HWRC sites experience regular low use periods, typically Tuesdays or Wednesdays, which may offer the opportunity to reduce opening times.  Options are closure for the day or reduced opening hours.  In planning any reduced operating hours consideration should be given to ensuring that when a site closes neighbouring sites remains open. This would be the advantage of planning these changes on a regional basis.</w:t>
      </w:r>
    </w:p>
    <w:p w:rsidR="004F3EFC" w:rsidRPr="00BC0701" w:rsidRDefault="004F3EFC" w:rsidP="004F3EFC">
      <w:pPr>
        <w:rPr>
          <w:rFonts w:cs="Arial"/>
        </w:rPr>
      </w:pPr>
      <w:r w:rsidRPr="00BC0701">
        <w:rPr>
          <w:rFonts w:cs="Arial"/>
        </w:rPr>
        <w:t xml:space="preserve">The savings that can be gained from this type of change are modest and related to the degree of change. </w:t>
      </w:r>
      <w:r>
        <w:rPr>
          <w:rFonts w:cs="Arial"/>
        </w:rPr>
        <w:t>C</w:t>
      </w:r>
      <w:r w:rsidRPr="00BC0701">
        <w:rPr>
          <w:rFonts w:cs="Arial"/>
        </w:rPr>
        <w:t>losing a site on a whole day might gain a saving of £500 per day which when aggregated up, assuming 8 sites have single day closures amounts to £200kpa. Reduced hours of operation would provide smaller savings but if linked with some adjustment to cater for early mornings or later evenings may be more acceptable to the public.  It is important to note that the current programme of opening has an 8 till 8 pattern, which requires a two-shift arrangement. If the opening hours are reduced to approximately 8 hours this allows moving to a single shift which will provide the most cost effective reduction as it will avoid more costly working patterns for the staff.</w:t>
      </w:r>
    </w:p>
    <w:p w:rsidR="004F3EFC" w:rsidRPr="00BC0701" w:rsidRDefault="004F3EFC" w:rsidP="004F3EFC">
      <w:pPr>
        <w:rPr>
          <w:rFonts w:cs="Arial"/>
          <w:b/>
        </w:rPr>
      </w:pPr>
      <w:r w:rsidRPr="00BC0701">
        <w:rPr>
          <w:rFonts w:cs="Arial"/>
          <w:b/>
        </w:rPr>
        <w:t>Site rationalisation</w:t>
      </w:r>
    </w:p>
    <w:p w:rsidR="004F3EFC" w:rsidRPr="00BC0701" w:rsidRDefault="004F3EFC" w:rsidP="004F3EFC">
      <w:pPr>
        <w:rPr>
          <w:rFonts w:cs="Arial"/>
        </w:rPr>
      </w:pPr>
      <w:r w:rsidRPr="00BC0701">
        <w:rPr>
          <w:rFonts w:cs="Arial"/>
        </w:rPr>
        <w:t xml:space="preserve">The option to make savings can also arise from closing sites; the current service provision across the region is shown in </w:t>
      </w:r>
      <w:r w:rsidRPr="00BC0701">
        <w:rPr>
          <w:rFonts w:cs="Arial"/>
        </w:rPr>
        <w:fldChar w:fldCharType="begin"/>
      </w:r>
      <w:r w:rsidRPr="00BC0701">
        <w:rPr>
          <w:rFonts w:cs="Arial"/>
        </w:rPr>
        <w:instrText xml:space="preserve"> REF _Ref458065899 \h </w:instrText>
      </w:r>
      <w:r w:rsidRPr="00BC0701">
        <w:rPr>
          <w:rFonts w:cs="Arial"/>
        </w:rPr>
      </w:r>
      <w:r w:rsidRPr="00BC0701">
        <w:rPr>
          <w:rFonts w:cs="Arial"/>
        </w:rPr>
        <w:fldChar w:fldCharType="separate"/>
      </w:r>
      <w:r w:rsidR="001F0B12" w:rsidRPr="00BC0701">
        <w:rPr>
          <w:rFonts w:cs="Arial"/>
        </w:rPr>
        <w:t xml:space="preserve">Figure </w:t>
      </w:r>
      <w:r w:rsidR="001F0B12">
        <w:rPr>
          <w:rFonts w:cs="Arial"/>
          <w:noProof/>
        </w:rPr>
        <w:t>2</w:t>
      </w:r>
      <w:r w:rsidRPr="00BC0701">
        <w:rPr>
          <w:rFonts w:cs="Arial"/>
        </w:rPr>
        <w:fldChar w:fldCharType="end"/>
      </w:r>
      <w:r w:rsidRPr="00BC0701">
        <w:rPr>
          <w:rFonts w:cs="Arial"/>
        </w:rPr>
        <w:t xml:space="preserve">.  This shows a very good spread and coverage of sites providing most (87%) of the population with a site within 10 minutes </w:t>
      </w:r>
      <w:proofErr w:type="gramStart"/>
      <w:r w:rsidRPr="00BC0701">
        <w:rPr>
          <w:rFonts w:cs="Arial"/>
        </w:rPr>
        <w:t>drive-time</w:t>
      </w:r>
      <w:proofErr w:type="gramEnd"/>
      <w:r w:rsidRPr="00BC0701">
        <w:rPr>
          <w:rFonts w:cs="Arial"/>
        </w:rPr>
        <w:t xml:space="preserve"> and 99.8% within 20 minute drive time.  Whilst there is no national standard for provision, WRAP</w:t>
      </w:r>
      <w:r w:rsidRPr="00BC0701">
        <w:rPr>
          <w:rStyle w:val="FootnoteReference"/>
          <w:rFonts w:cs="Arial"/>
        </w:rPr>
        <w:footnoteReference w:id="4"/>
      </w:r>
      <w:r w:rsidRPr="00BC0701">
        <w:rPr>
          <w:rFonts w:cs="Arial"/>
        </w:rPr>
        <w:t xml:space="preserve"> indicate that a </w:t>
      </w:r>
      <w:proofErr w:type="gramStart"/>
      <w:r w:rsidRPr="00BC0701">
        <w:rPr>
          <w:rFonts w:cs="Arial"/>
        </w:rPr>
        <w:t>20 minute</w:t>
      </w:r>
      <w:proofErr w:type="gramEnd"/>
      <w:r w:rsidRPr="00BC0701">
        <w:rPr>
          <w:rFonts w:cs="Arial"/>
        </w:rPr>
        <w:t xml:space="preserve"> drive time for 90% of the population is viewed as good practice.</w:t>
      </w:r>
    </w:p>
    <w:p w:rsidR="004F3EFC" w:rsidRPr="00BC0701" w:rsidRDefault="004F3EFC" w:rsidP="004F3EFC">
      <w:pPr>
        <w:rPr>
          <w:rFonts w:cs="Arial"/>
        </w:rPr>
      </w:pPr>
    </w:p>
    <w:p w:rsidR="004F3EFC" w:rsidRPr="00BC0701" w:rsidRDefault="004F3EFC" w:rsidP="004F3EFC">
      <w:pPr>
        <w:keepNext/>
        <w:rPr>
          <w:rFonts w:cs="Arial"/>
        </w:rPr>
      </w:pPr>
      <w:r w:rsidRPr="00BC0701">
        <w:rPr>
          <w:rFonts w:cs="Arial"/>
          <w:noProof/>
          <w:lang w:val="en-US" w:eastAsia="en-US"/>
        </w:rPr>
        <w:lastRenderedPageBreak/>
        <w:drawing>
          <wp:inline distT="0" distB="0" distL="0" distR="0" wp14:anchorId="24103DEF" wp14:editId="1E24AF2D">
            <wp:extent cx="4523740" cy="44278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23740" cy="4427855"/>
                    </a:xfrm>
                    <a:prstGeom prst="rect">
                      <a:avLst/>
                    </a:prstGeom>
                    <a:noFill/>
                    <a:ln>
                      <a:noFill/>
                    </a:ln>
                  </pic:spPr>
                </pic:pic>
              </a:graphicData>
            </a:graphic>
          </wp:inline>
        </w:drawing>
      </w:r>
    </w:p>
    <w:p w:rsidR="004F3EFC" w:rsidRPr="00BC0701" w:rsidRDefault="004F3EFC" w:rsidP="004F3EFC">
      <w:pPr>
        <w:pStyle w:val="Caption"/>
        <w:rPr>
          <w:rFonts w:ascii="Arial" w:hAnsi="Arial" w:cs="Arial"/>
        </w:rPr>
      </w:pPr>
      <w:bookmarkStart w:id="21" w:name="_Ref458065899"/>
      <w:r w:rsidRPr="00BC0701">
        <w:rPr>
          <w:rFonts w:ascii="Arial" w:hAnsi="Arial" w:cs="Arial"/>
        </w:rPr>
        <w:t xml:space="preserve">Figure </w:t>
      </w:r>
      <w:r w:rsidRPr="00BC0701">
        <w:rPr>
          <w:rFonts w:ascii="Arial" w:hAnsi="Arial" w:cs="Arial"/>
        </w:rPr>
        <w:fldChar w:fldCharType="begin"/>
      </w:r>
      <w:r w:rsidRPr="00BC0701">
        <w:rPr>
          <w:rFonts w:ascii="Arial" w:hAnsi="Arial" w:cs="Arial"/>
        </w:rPr>
        <w:instrText xml:space="preserve"> SEQ Figure \* ARABIC </w:instrText>
      </w:r>
      <w:r w:rsidRPr="00BC0701">
        <w:rPr>
          <w:rFonts w:ascii="Arial" w:hAnsi="Arial" w:cs="Arial"/>
        </w:rPr>
        <w:fldChar w:fldCharType="separate"/>
      </w:r>
      <w:r w:rsidR="001F0B12">
        <w:rPr>
          <w:rFonts w:ascii="Arial" w:hAnsi="Arial" w:cs="Arial"/>
          <w:noProof/>
        </w:rPr>
        <w:t>2</w:t>
      </w:r>
      <w:r w:rsidRPr="00BC0701">
        <w:rPr>
          <w:rFonts w:ascii="Arial" w:hAnsi="Arial" w:cs="Arial"/>
          <w:noProof/>
        </w:rPr>
        <w:fldChar w:fldCharType="end"/>
      </w:r>
      <w:bookmarkEnd w:id="21"/>
      <w:r w:rsidRPr="00BC0701">
        <w:rPr>
          <w:rFonts w:ascii="Arial" w:hAnsi="Arial" w:cs="Arial"/>
        </w:rPr>
        <w:t xml:space="preserve"> Distribution of HWRCs and associated travel times</w:t>
      </w:r>
    </w:p>
    <w:p w:rsidR="004F3EFC" w:rsidRPr="00BC0701" w:rsidRDefault="004F3EFC" w:rsidP="004F3EFC">
      <w:pPr>
        <w:rPr>
          <w:rFonts w:cs="Arial"/>
        </w:rPr>
      </w:pPr>
      <w:r w:rsidRPr="00BC0701">
        <w:rPr>
          <w:rFonts w:cs="Arial"/>
        </w:rPr>
        <w:t xml:space="preserve">The one site that may be overlapped by others is </w:t>
      </w:r>
      <w:proofErr w:type="spellStart"/>
      <w:r w:rsidRPr="00BC0701">
        <w:rPr>
          <w:rFonts w:cs="Arial"/>
        </w:rPr>
        <w:t>Rainhill</w:t>
      </w:r>
      <w:proofErr w:type="spellEnd"/>
      <w:r w:rsidRPr="00BC0701">
        <w:rPr>
          <w:rFonts w:cs="Arial"/>
        </w:rPr>
        <w:t xml:space="preserve">.  This site serves a relatively small population (24.4k households). If this were removed from the network, the current users would largely divert to the next nearest sites of </w:t>
      </w:r>
      <w:proofErr w:type="spellStart"/>
      <w:r w:rsidRPr="00BC0701">
        <w:rPr>
          <w:rFonts w:cs="Arial"/>
        </w:rPr>
        <w:t>Huyton</w:t>
      </w:r>
      <w:proofErr w:type="spellEnd"/>
      <w:r w:rsidRPr="00BC0701">
        <w:rPr>
          <w:rFonts w:cs="Arial"/>
        </w:rPr>
        <w:t xml:space="preserve"> or </w:t>
      </w:r>
      <w:proofErr w:type="spellStart"/>
      <w:r w:rsidRPr="00BC0701">
        <w:rPr>
          <w:rFonts w:cs="Arial"/>
        </w:rPr>
        <w:t>Ravenhead</w:t>
      </w:r>
      <w:proofErr w:type="spellEnd"/>
      <w:r w:rsidRPr="00BC0701">
        <w:rPr>
          <w:rFonts w:cs="Arial"/>
        </w:rPr>
        <w:t xml:space="preserve">.  This change would save the annual service charge of £242k (indexed) and would affect the public travel times by increasing the average travel time from 6.6 minutes to 7.0 minutes.  However the specific impacts of </w:t>
      </w:r>
      <w:proofErr w:type="spellStart"/>
      <w:r w:rsidRPr="00BC0701">
        <w:rPr>
          <w:rFonts w:cs="Arial"/>
        </w:rPr>
        <w:t>Rainhill</w:t>
      </w:r>
      <w:proofErr w:type="spellEnd"/>
      <w:r w:rsidRPr="00BC0701">
        <w:rPr>
          <w:rFonts w:cs="Arial"/>
        </w:rPr>
        <w:t xml:space="preserve"> closure on </w:t>
      </w:r>
      <w:proofErr w:type="spellStart"/>
      <w:r w:rsidRPr="00BC0701">
        <w:rPr>
          <w:rFonts w:cs="Arial"/>
        </w:rPr>
        <w:t>Huyton</w:t>
      </w:r>
      <w:proofErr w:type="spellEnd"/>
      <w:r w:rsidRPr="00BC0701">
        <w:rPr>
          <w:rFonts w:cs="Arial"/>
        </w:rPr>
        <w:t xml:space="preserve"> and </w:t>
      </w:r>
      <w:proofErr w:type="spellStart"/>
      <w:r w:rsidRPr="00BC0701">
        <w:rPr>
          <w:rFonts w:cs="Arial"/>
        </w:rPr>
        <w:t>Ravenhead</w:t>
      </w:r>
      <w:proofErr w:type="spellEnd"/>
      <w:r w:rsidRPr="00BC0701">
        <w:rPr>
          <w:rFonts w:cs="Arial"/>
        </w:rPr>
        <w:t xml:space="preserve"> users specifically is more relevant and there would be increase from 8.1 and 7.3 minutes to 8.4 and 7.5 minutes respectively, which is a modest impact of circa 3%.</w:t>
      </w:r>
    </w:p>
    <w:p w:rsidR="004F3EFC" w:rsidRPr="00BC0701" w:rsidRDefault="004F3EFC" w:rsidP="004F3EFC">
      <w:pPr>
        <w:rPr>
          <w:rFonts w:cs="Arial"/>
        </w:rPr>
      </w:pPr>
      <w:r w:rsidRPr="00BC0701">
        <w:rPr>
          <w:rFonts w:cs="Arial"/>
        </w:rPr>
        <w:t xml:space="preserve">An alternative scenario would be to close several of the smaller and outlying sites to concentrate the activity in the larger more central facilities.  Whilst there are many permutations that could be considered an example might be the closure of 4 sites </w:t>
      </w:r>
    </w:p>
    <w:p w:rsidR="004F3EFC" w:rsidRPr="00BC0701" w:rsidRDefault="004F3EFC" w:rsidP="008B5D7A">
      <w:pPr>
        <w:numPr>
          <w:ilvl w:val="0"/>
          <w:numId w:val="8"/>
        </w:numPr>
        <w:spacing w:after="0" w:line="276" w:lineRule="auto"/>
        <w:ind w:left="714" w:hanging="357"/>
        <w:rPr>
          <w:rFonts w:cs="Arial"/>
        </w:rPr>
      </w:pPr>
      <w:r w:rsidRPr="00BC0701">
        <w:rPr>
          <w:rFonts w:cs="Arial"/>
        </w:rPr>
        <w:t>Formby</w:t>
      </w:r>
    </w:p>
    <w:p w:rsidR="004F3EFC" w:rsidRPr="00BC0701" w:rsidRDefault="004F3EFC" w:rsidP="008B5D7A">
      <w:pPr>
        <w:numPr>
          <w:ilvl w:val="0"/>
          <w:numId w:val="8"/>
        </w:numPr>
        <w:spacing w:after="0" w:line="276" w:lineRule="auto"/>
        <w:ind w:left="714" w:hanging="357"/>
        <w:rPr>
          <w:rFonts w:cs="Arial"/>
        </w:rPr>
      </w:pPr>
      <w:r w:rsidRPr="00BC0701">
        <w:rPr>
          <w:rFonts w:cs="Arial"/>
        </w:rPr>
        <w:t>Johnson’s lane</w:t>
      </w:r>
    </w:p>
    <w:p w:rsidR="004F3EFC" w:rsidRPr="00BC0701" w:rsidRDefault="004F3EFC" w:rsidP="008B5D7A">
      <w:pPr>
        <w:numPr>
          <w:ilvl w:val="0"/>
          <w:numId w:val="8"/>
        </w:numPr>
        <w:spacing w:after="0" w:line="276" w:lineRule="auto"/>
        <w:ind w:left="714" w:hanging="357"/>
        <w:rPr>
          <w:rFonts w:cs="Arial"/>
        </w:rPr>
      </w:pPr>
      <w:proofErr w:type="spellStart"/>
      <w:r w:rsidRPr="00BC0701">
        <w:rPr>
          <w:rFonts w:cs="Arial"/>
        </w:rPr>
        <w:t>Rainhill</w:t>
      </w:r>
      <w:proofErr w:type="spellEnd"/>
    </w:p>
    <w:p w:rsidR="004F3EFC" w:rsidRPr="00BC0701" w:rsidRDefault="004F3EFC" w:rsidP="008B5D7A">
      <w:pPr>
        <w:numPr>
          <w:ilvl w:val="0"/>
          <w:numId w:val="8"/>
        </w:numPr>
        <w:spacing w:after="0" w:line="276" w:lineRule="auto"/>
        <w:ind w:left="714" w:hanging="357"/>
        <w:rPr>
          <w:rFonts w:cs="Arial"/>
        </w:rPr>
      </w:pPr>
      <w:r w:rsidRPr="00BC0701">
        <w:rPr>
          <w:rFonts w:cs="Arial"/>
        </w:rPr>
        <w:t>West Kirby</w:t>
      </w:r>
    </w:p>
    <w:p w:rsidR="004F3EFC" w:rsidRPr="00BC0701" w:rsidRDefault="004F3EFC" w:rsidP="004F3EFC">
      <w:pPr>
        <w:rPr>
          <w:rFonts w:cs="Arial"/>
        </w:rPr>
      </w:pPr>
    </w:p>
    <w:p w:rsidR="004F3EFC" w:rsidRPr="00BC0701" w:rsidRDefault="004F3EFC" w:rsidP="004F3EFC">
      <w:pPr>
        <w:rPr>
          <w:rFonts w:cs="Arial"/>
        </w:rPr>
      </w:pPr>
      <w:r w:rsidRPr="00BC0701">
        <w:rPr>
          <w:rFonts w:cs="Arial"/>
        </w:rPr>
        <w:t xml:space="preserve">Collectively these might provide gross savings of up to £1.27m less the added costs that the contractor would require given the extra flow at the remaining sites and costs to maintain their IRR.  It is impossible to predict the costs but a 5% increase on the remaining sites would cost circa £225k and thus there should be approximately £1m of savings available.  However, this is not a comfortable decision by a local authority as it will reduce the service level to the public and the travel times on average would increase from the current 6.6 minutes to 7.5 minutes and increase the proportion of households that travel longer than 15 minutes to get to a site from 0.8% to 3.7%.  The resultant travel time map is shown in </w:t>
      </w:r>
      <w:r w:rsidRPr="00BC0701">
        <w:rPr>
          <w:rFonts w:cs="Arial"/>
        </w:rPr>
        <w:fldChar w:fldCharType="begin"/>
      </w:r>
      <w:r w:rsidRPr="00BC0701">
        <w:rPr>
          <w:rFonts w:cs="Arial"/>
        </w:rPr>
        <w:instrText xml:space="preserve"> REF _Ref461545152 \h </w:instrText>
      </w:r>
      <w:r w:rsidRPr="00BC0701">
        <w:rPr>
          <w:rFonts w:cs="Arial"/>
        </w:rPr>
      </w:r>
      <w:r w:rsidRPr="00BC0701">
        <w:rPr>
          <w:rFonts w:cs="Arial"/>
        </w:rPr>
        <w:fldChar w:fldCharType="separate"/>
      </w:r>
      <w:r w:rsidR="001F0B12" w:rsidRPr="00BC0701">
        <w:rPr>
          <w:rFonts w:cs="Arial"/>
        </w:rPr>
        <w:t xml:space="preserve">Figure </w:t>
      </w:r>
      <w:r w:rsidR="001F0B12">
        <w:rPr>
          <w:rFonts w:cs="Arial"/>
          <w:noProof/>
        </w:rPr>
        <w:t>3</w:t>
      </w:r>
      <w:r w:rsidRPr="00BC0701">
        <w:rPr>
          <w:rFonts w:cs="Arial"/>
        </w:rPr>
        <w:fldChar w:fldCharType="end"/>
      </w:r>
      <w:r w:rsidRPr="00BC0701">
        <w:rPr>
          <w:rFonts w:cs="Arial"/>
        </w:rPr>
        <w:t>.</w:t>
      </w:r>
    </w:p>
    <w:p w:rsidR="004F3EFC" w:rsidRPr="00BC0701" w:rsidRDefault="004F3EFC" w:rsidP="004F3EFC">
      <w:pPr>
        <w:keepNext/>
        <w:rPr>
          <w:rFonts w:cs="Arial"/>
        </w:rPr>
      </w:pPr>
      <w:r w:rsidRPr="00BC0701">
        <w:rPr>
          <w:rFonts w:cs="Arial"/>
          <w:noProof/>
          <w:lang w:val="en-US" w:eastAsia="en-US"/>
        </w:rPr>
        <w:lastRenderedPageBreak/>
        <w:drawing>
          <wp:inline distT="0" distB="0" distL="0" distR="0" wp14:anchorId="0061116A" wp14:editId="26E5CE99">
            <wp:extent cx="4860925" cy="45815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60925" cy="4581525"/>
                    </a:xfrm>
                    <a:prstGeom prst="rect">
                      <a:avLst/>
                    </a:prstGeom>
                    <a:noFill/>
                    <a:ln>
                      <a:noFill/>
                    </a:ln>
                  </pic:spPr>
                </pic:pic>
              </a:graphicData>
            </a:graphic>
          </wp:inline>
        </w:drawing>
      </w:r>
    </w:p>
    <w:p w:rsidR="004F3EFC" w:rsidRPr="00BC0701" w:rsidRDefault="004F3EFC" w:rsidP="004F3EFC">
      <w:pPr>
        <w:pStyle w:val="Caption"/>
        <w:rPr>
          <w:rFonts w:ascii="Arial" w:hAnsi="Arial" w:cs="Arial"/>
        </w:rPr>
      </w:pPr>
      <w:bookmarkStart w:id="22" w:name="_Ref461545152"/>
      <w:r w:rsidRPr="00BC0701">
        <w:rPr>
          <w:rFonts w:ascii="Arial" w:hAnsi="Arial" w:cs="Arial"/>
        </w:rPr>
        <w:t xml:space="preserve">Figure </w:t>
      </w:r>
      <w:r w:rsidRPr="00BC0701">
        <w:rPr>
          <w:rFonts w:ascii="Arial" w:hAnsi="Arial" w:cs="Arial"/>
        </w:rPr>
        <w:fldChar w:fldCharType="begin"/>
      </w:r>
      <w:r w:rsidRPr="00BC0701">
        <w:rPr>
          <w:rFonts w:ascii="Arial" w:hAnsi="Arial" w:cs="Arial"/>
        </w:rPr>
        <w:instrText xml:space="preserve"> SEQ Figure \* ARABIC </w:instrText>
      </w:r>
      <w:r w:rsidRPr="00BC0701">
        <w:rPr>
          <w:rFonts w:ascii="Arial" w:hAnsi="Arial" w:cs="Arial"/>
        </w:rPr>
        <w:fldChar w:fldCharType="separate"/>
      </w:r>
      <w:r w:rsidR="001F0B12">
        <w:rPr>
          <w:rFonts w:ascii="Arial" w:hAnsi="Arial" w:cs="Arial"/>
          <w:noProof/>
        </w:rPr>
        <w:t>3</w:t>
      </w:r>
      <w:r w:rsidRPr="00BC0701">
        <w:rPr>
          <w:rFonts w:ascii="Arial" w:hAnsi="Arial" w:cs="Arial"/>
          <w:noProof/>
        </w:rPr>
        <w:fldChar w:fldCharType="end"/>
      </w:r>
      <w:bookmarkEnd w:id="22"/>
      <w:r w:rsidRPr="00BC0701">
        <w:rPr>
          <w:rFonts w:ascii="Arial" w:hAnsi="Arial" w:cs="Arial"/>
        </w:rPr>
        <w:t xml:space="preserve"> Travel time map with 4 HWRCs withdrawn</w:t>
      </w:r>
    </w:p>
    <w:p w:rsidR="004F3EFC" w:rsidRPr="00BC0701" w:rsidRDefault="004F3EFC" w:rsidP="004F3EFC">
      <w:pPr>
        <w:rPr>
          <w:rFonts w:cs="Arial"/>
          <w:b/>
        </w:rPr>
      </w:pPr>
      <w:r w:rsidRPr="00BC0701">
        <w:rPr>
          <w:rFonts w:cs="Arial"/>
          <w:b/>
        </w:rPr>
        <w:t>Controls on access</w:t>
      </w:r>
    </w:p>
    <w:p w:rsidR="004F3EFC" w:rsidRPr="00BC0701" w:rsidRDefault="004F3EFC" w:rsidP="004F3EFC">
      <w:pPr>
        <w:rPr>
          <w:rFonts w:cs="Arial"/>
        </w:rPr>
      </w:pPr>
      <w:r w:rsidRPr="00BC0701">
        <w:rPr>
          <w:rFonts w:cs="Arial"/>
        </w:rPr>
        <w:t xml:space="preserve">It can also be seen that several sites are geographically convenient for the public from neighbouring authorities (most significantly Johnson’s Lane, Newton Le-Willows, Kirby, Formby and Southport) and there will be a portion of the users from outside the area.  The waste these users bring will add cost to </w:t>
      </w:r>
      <w:proofErr w:type="gramStart"/>
      <w:r w:rsidRPr="00BC0701">
        <w:rPr>
          <w:rFonts w:cs="Arial"/>
        </w:rPr>
        <w:t>MRWA</w:t>
      </w:r>
      <w:proofErr w:type="gramEnd"/>
      <w:r w:rsidRPr="00BC0701">
        <w:rPr>
          <w:rFonts w:cs="Arial"/>
        </w:rPr>
        <w:t xml:space="preserve"> as this waste will have disposal costs that will need to be met.  Whilst this is a zero sum gain for the public sector it is worthwhile opening discussions with the neighbouring authorities to see if there is opportunity to apportion costs to the appropriate authority.  If these discussions cannot resolve any imbalance in flows then there are a number of mechanisms to limit site use to residents.  The main systems centre </w:t>
      </w:r>
      <w:proofErr w:type="gramStart"/>
      <w:r w:rsidRPr="00BC0701">
        <w:rPr>
          <w:rFonts w:cs="Arial"/>
        </w:rPr>
        <w:t>around</w:t>
      </w:r>
      <w:proofErr w:type="gramEnd"/>
      <w:r w:rsidRPr="00BC0701">
        <w:rPr>
          <w:rFonts w:cs="Arial"/>
        </w:rPr>
        <w:t xml:space="preserve"> providing the resident with a permit or ticket to use the site or a requirement to provide evidence of appropriate residency when challenged by site operative.  The main principles of this may be linked with the trade waste systems that are being rolled out so that where a user arrives without appropriate permission, they have the opportunity to pay for tipping waste and thereby reduce the potential for </w:t>
      </w:r>
      <w:proofErr w:type="spellStart"/>
      <w:r w:rsidRPr="00BC0701">
        <w:rPr>
          <w:rFonts w:cs="Arial"/>
        </w:rPr>
        <w:t>flytipping</w:t>
      </w:r>
      <w:proofErr w:type="spellEnd"/>
      <w:r w:rsidRPr="00BC0701">
        <w:rPr>
          <w:rFonts w:cs="Arial"/>
        </w:rPr>
        <w:t>.  Obviously there is an administrative burden in issuing permits and this will involve most households in the areas surround the affected sites rather than the current schemes to issue permits to owners of large vehicles.  To avoid this, evidence based schemes have been adopted but there is some anecdotal evidence that there can be some “sharing” of documents thereby bypassing the system, but there is no quantitative evidence of this being significant.</w:t>
      </w:r>
    </w:p>
    <w:p w:rsidR="004F3EFC" w:rsidRPr="00BC0701" w:rsidRDefault="004F3EFC" w:rsidP="004F3EFC">
      <w:pPr>
        <w:rPr>
          <w:rFonts w:cs="Arial"/>
        </w:rPr>
      </w:pPr>
      <w:r w:rsidRPr="00BC0701">
        <w:rPr>
          <w:rFonts w:cs="Arial"/>
        </w:rPr>
        <w:t xml:space="preserve">Without evidence to estimate the scale of the problem it is hard to estimate the amount of savings that may be accrued but these sites together process approximately 50-55 </w:t>
      </w:r>
      <w:proofErr w:type="spellStart"/>
      <w:r w:rsidRPr="00BC0701">
        <w:rPr>
          <w:rFonts w:cs="Arial"/>
        </w:rPr>
        <w:t>ktpa</w:t>
      </w:r>
      <w:proofErr w:type="spellEnd"/>
      <w:r w:rsidRPr="00BC0701">
        <w:rPr>
          <w:rFonts w:cs="Arial"/>
        </w:rPr>
        <w:t xml:space="preserve"> and the residual element is circa 20ktpa.  Assuming that use by non-residents is 10% as an upper limit this would indicate that </w:t>
      </w:r>
      <w:proofErr w:type="spellStart"/>
      <w:r w:rsidRPr="00BC0701">
        <w:rPr>
          <w:rFonts w:cs="Arial"/>
        </w:rPr>
        <w:t>upto</w:t>
      </w:r>
      <w:proofErr w:type="spellEnd"/>
      <w:r w:rsidRPr="00BC0701">
        <w:rPr>
          <w:rFonts w:cs="Arial"/>
        </w:rPr>
        <w:t xml:space="preserve"> 2 </w:t>
      </w:r>
      <w:proofErr w:type="spellStart"/>
      <w:r w:rsidRPr="00BC0701">
        <w:rPr>
          <w:rFonts w:cs="Arial"/>
        </w:rPr>
        <w:t>ktpa</w:t>
      </w:r>
      <w:proofErr w:type="spellEnd"/>
      <w:r w:rsidRPr="00BC0701">
        <w:rPr>
          <w:rFonts w:cs="Arial"/>
        </w:rPr>
        <w:t xml:space="preserve"> of residual and a further 3ktpa of recyclables may be being handled and paid for by MWRA inappropriately, which suggests an annual value of £200-300k as an upper limit that may be recouped from the neighbouring authorities.  This estimate is dependant to the degree of use by non-residents and this will have to be determined by surveying the site use and the 10% estimate is very </w:t>
      </w:r>
      <w:r w:rsidRPr="00BC0701">
        <w:rPr>
          <w:rFonts w:cs="Arial"/>
        </w:rPr>
        <w:lastRenderedPageBreak/>
        <w:t>much an upper estimate thus the saving are also an upper bound value and will be proportionate to the amount of non-resident use.</w:t>
      </w:r>
    </w:p>
    <w:p w:rsidR="004F3EFC" w:rsidRPr="00BC0701" w:rsidRDefault="004F3EFC" w:rsidP="004F3EFC">
      <w:pPr>
        <w:rPr>
          <w:rFonts w:cs="Arial"/>
        </w:rPr>
      </w:pPr>
      <w:r w:rsidRPr="00BC0701">
        <w:rPr>
          <w:rFonts w:cs="Arial"/>
        </w:rPr>
        <w:t>A note of caution does have to be raised, in that this effect is not one way and LCR residents may also use sites in the neighbouring areas.  It is sensible to understand the quantum of this use as the balance of flows and cost may be small and not worth complex arrangements to account for them.  Alternatively it may be that the LCR is a net exporter and opening these discussions may lead to additional costs that are currently borne by your neighbours being repatriated and thereby increasing costs for the Authority.</w:t>
      </w:r>
    </w:p>
    <w:p w:rsidR="004F3EFC" w:rsidRPr="00BC0701" w:rsidRDefault="004F3EFC" w:rsidP="008B5D7A">
      <w:pPr>
        <w:pStyle w:val="Heading4"/>
        <w:keepLines w:val="0"/>
        <w:numPr>
          <w:ilvl w:val="3"/>
          <w:numId w:val="6"/>
        </w:numPr>
        <w:spacing w:after="60" w:line="276" w:lineRule="auto"/>
        <w:rPr>
          <w:rFonts w:cs="Arial"/>
        </w:rPr>
      </w:pPr>
      <w:r w:rsidRPr="00BC0701">
        <w:rPr>
          <w:rFonts w:cs="Arial"/>
        </w:rPr>
        <w:t>Summary Reduction in HWRC Operating Hours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1139"/>
        <w:gridCol w:w="2570"/>
        <w:gridCol w:w="1800"/>
        <w:gridCol w:w="1843"/>
      </w:tblGrid>
      <w:tr w:rsidR="004F3EFC" w:rsidRPr="00BC0701" w:rsidTr="004F3EFC">
        <w:tc>
          <w:tcPr>
            <w:tcW w:w="0" w:type="auto"/>
            <w:shd w:val="pct20" w:color="auto" w:fill="auto"/>
          </w:tcPr>
          <w:p w:rsidR="004F3EFC" w:rsidRPr="00BC0701" w:rsidRDefault="004F3EFC" w:rsidP="004F3EFC">
            <w:pPr>
              <w:jc w:val="both"/>
              <w:rPr>
                <w:rFonts w:eastAsia="MS Mincho" w:cs="Arial"/>
              </w:rPr>
            </w:pPr>
            <w:r w:rsidRPr="00BC0701">
              <w:rPr>
                <w:rFonts w:eastAsia="MS Mincho" w:cs="Arial"/>
              </w:rPr>
              <w:t>Saving opportunity descriptor</w:t>
            </w:r>
          </w:p>
        </w:tc>
        <w:tc>
          <w:tcPr>
            <w:tcW w:w="0" w:type="auto"/>
            <w:shd w:val="pct20" w:color="auto" w:fill="auto"/>
          </w:tcPr>
          <w:p w:rsidR="004F3EFC" w:rsidRPr="00BC0701" w:rsidRDefault="004F3EFC" w:rsidP="004F3EFC">
            <w:pPr>
              <w:jc w:val="both"/>
              <w:rPr>
                <w:rFonts w:eastAsia="MS Mincho" w:cs="Arial"/>
              </w:rPr>
            </w:pPr>
            <w:r w:rsidRPr="00BC0701">
              <w:rPr>
                <w:rFonts w:eastAsia="MS Mincho" w:cs="Arial"/>
              </w:rPr>
              <w:t>Periodicity</w:t>
            </w:r>
          </w:p>
        </w:tc>
        <w:tc>
          <w:tcPr>
            <w:tcW w:w="0" w:type="auto"/>
            <w:shd w:val="pct20" w:color="auto" w:fill="auto"/>
          </w:tcPr>
          <w:p w:rsidR="004F3EFC" w:rsidRPr="00BC0701" w:rsidRDefault="004F3EFC" w:rsidP="004F3EFC">
            <w:pPr>
              <w:jc w:val="both"/>
              <w:rPr>
                <w:rFonts w:eastAsia="MS Mincho" w:cs="Arial"/>
              </w:rPr>
            </w:pPr>
            <w:r w:rsidRPr="00BC0701">
              <w:rPr>
                <w:rFonts w:eastAsia="MS Mincho" w:cs="Arial"/>
              </w:rPr>
              <w:t>Invest to Save Requirement (2015/16 prices)</w:t>
            </w:r>
          </w:p>
        </w:tc>
        <w:tc>
          <w:tcPr>
            <w:tcW w:w="0" w:type="auto"/>
            <w:shd w:val="pct20" w:color="auto" w:fill="auto"/>
          </w:tcPr>
          <w:p w:rsidR="004F3EFC" w:rsidRPr="00BC0701" w:rsidRDefault="004F3EFC" w:rsidP="004F3EFC">
            <w:pPr>
              <w:jc w:val="both"/>
              <w:rPr>
                <w:rFonts w:eastAsia="MS Mincho" w:cs="Arial"/>
              </w:rPr>
            </w:pPr>
            <w:r w:rsidRPr="00BC0701">
              <w:rPr>
                <w:rFonts w:eastAsia="MS Mincho" w:cs="Arial"/>
              </w:rPr>
              <w:t>Opex Saving (2015/16 prices)</w:t>
            </w:r>
          </w:p>
        </w:tc>
        <w:tc>
          <w:tcPr>
            <w:tcW w:w="0" w:type="auto"/>
            <w:shd w:val="pct20" w:color="auto" w:fill="auto"/>
          </w:tcPr>
          <w:p w:rsidR="004F3EFC" w:rsidRPr="00BC0701" w:rsidRDefault="004F3EFC" w:rsidP="004F3EFC">
            <w:pPr>
              <w:jc w:val="both"/>
              <w:rPr>
                <w:rFonts w:eastAsia="MS Mincho" w:cs="Arial"/>
              </w:rPr>
            </w:pPr>
            <w:r w:rsidRPr="00BC0701">
              <w:rPr>
                <w:rFonts w:eastAsia="MS Mincho" w:cs="Arial"/>
              </w:rPr>
              <w:t>Capex Saving (2015/16 prices)</w:t>
            </w:r>
          </w:p>
        </w:tc>
      </w:tr>
      <w:tr w:rsidR="004F3EFC" w:rsidRPr="00BC0701" w:rsidTr="004F3EFC">
        <w:tc>
          <w:tcPr>
            <w:tcW w:w="0" w:type="auto"/>
            <w:shd w:val="clear" w:color="auto" w:fill="auto"/>
          </w:tcPr>
          <w:p w:rsidR="004F3EFC" w:rsidRPr="00BC0701" w:rsidRDefault="004F3EFC" w:rsidP="004F3EFC">
            <w:pPr>
              <w:jc w:val="both"/>
              <w:rPr>
                <w:rFonts w:eastAsia="MS Mincho" w:cs="Arial"/>
              </w:rPr>
            </w:pPr>
            <w:r w:rsidRPr="00BC0701">
              <w:rPr>
                <w:rFonts w:eastAsia="MS Mincho" w:cs="Arial"/>
              </w:rPr>
              <w:t>HWRC hours of operation</w:t>
            </w:r>
          </w:p>
        </w:tc>
        <w:tc>
          <w:tcPr>
            <w:tcW w:w="0" w:type="auto"/>
            <w:shd w:val="clear" w:color="auto" w:fill="auto"/>
          </w:tcPr>
          <w:p w:rsidR="004F3EFC" w:rsidRPr="00BC0701" w:rsidRDefault="004F3EFC" w:rsidP="004F3EFC">
            <w:pPr>
              <w:jc w:val="both"/>
              <w:rPr>
                <w:rFonts w:eastAsia="MS Mincho" w:cs="Arial"/>
              </w:rPr>
            </w:pPr>
            <w:proofErr w:type="gramStart"/>
            <w:r w:rsidRPr="00BC0701">
              <w:rPr>
                <w:rFonts w:eastAsia="MS Mincho" w:cs="Arial"/>
              </w:rPr>
              <w:t>annual</w:t>
            </w:r>
            <w:proofErr w:type="gramEnd"/>
          </w:p>
        </w:tc>
        <w:tc>
          <w:tcPr>
            <w:tcW w:w="0" w:type="auto"/>
            <w:shd w:val="clear" w:color="auto" w:fill="auto"/>
          </w:tcPr>
          <w:p w:rsidR="004F3EFC" w:rsidRPr="00BC0701" w:rsidRDefault="004F3EFC" w:rsidP="004F3EFC">
            <w:pPr>
              <w:jc w:val="both"/>
              <w:rPr>
                <w:rFonts w:eastAsia="MS Mincho" w:cs="Arial"/>
              </w:rPr>
            </w:pPr>
            <w:r w:rsidRPr="00BC0701">
              <w:rPr>
                <w:rFonts w:eastAsia="MS Mincho" w:cs="Arial"/>
              </w:rPr>
              <w:t>Minimal (education programme)</w:t>
            </w:r>
          </w:p>
        </w:tc>
        <w:tc>
          <w:tcPr>
            <w:tcW w:w="0" w:type="auto"/>
            <w:shd w:val="clear" w:color="auto" w:fill="auto"/>
          </w:tcPr>
          <w:p w:rsidR="004F3EFC" w:rsidRPr="00BC0701" w:rsidRDefault="004F3EFC" w:rsidP="004F3EFC">
            <w:pPr>
              <w:jc w:val="both"/>
              <w:rPr>
                <w:rFonts w:eastAsia="MS Mincho" w:cs="Arial"/>
              </w:rPr>
            </w:pPr>
            <w:r w:rsidRPr="00BC0701">
              <w:rPr>
                <w:rFonts w:eastAsia="MS Mincho" w:cs="Arial"/>
              </w:rPr>
              <w:t>£50-200k</w:t>
            </w:r>
          </w:p>
        </w:tc>
        <w:tc>
          <w:tcPr>
            <w:tcW w:w="0" w:type="auto"/>
            <w:shd w:val="clear" w:color="auto" w:fill="auto"/>
          </w:tcPr>
          <w:p w:rsidR="004F3EFC" w:rsidRPr="00BC0701" w:rsidRDefault="004F3EFC" w:rsidP="004F3EFC">
            <w:pPr>
              <w:jc w:val="both"/>
              <w:rPr>
                <w:rFonts w:eastAsia="MS Mincho" w:cs="Arial"/>
              </w:rPr>
            </w:pPr>
            <w:r w:rsidRPr="00BC0701">
              <w:rPr>
                <w:rFonts w:eastAsia="MS Mincho" w:cs="Arial"/>
              </w:rPr>
              <w:t>N/A</w:t>
            </w:r>
          </w:p>
        </w:tc>
      </w:tr>
    </w:tbl>
    <w:p w:rsidR="004F3EFC" w:rsidRPr="00BC0701" w:rsidRDefault="004F3EFC" w:rsidP="004F3EFC">
      <w:pPr>
        <w:rPr>
          <w:rFonts w:cs="Arial"/>
          <w:b/>
        </w:rPr>
      </w:pPr>
      <w:r w:rsidRPr="00BC0701">
        <w:rPr>
          <w:rFonts w:cs="Arial"/>
          <w:noProof/>
          <w:lang w:val="en-US" w:eastAsia="en-US"/>
        </w:rPr>
        <w:drawing>
          <wp:anchor distT="0" distB="0" distL="114300" distR="114300" simplePos="0" relativeHeight="251670528" behindDoc="1" locked="0" layoutInCell="1" allowOverlap="1" wp14:anchorId="59339B2C" wp14:editId="2BD4DC2C">
            <wp:simplePos x="0" y="0"/>
            <wp:positionH relativeFrom="column">
              <wp:posOffset>5006975</wp:posOffset>
            </wp:positionH>
            <wp:positionV relativeFrom="paragraph">
              <wp:posOffset>157480</wp:posOffset>
            </wp:positionV>
            <wp:extent cx="770255" cy="1261745"/>
            <wp:effectExtent l="0" t="0" r="0" b="8255"/>
            <wp:wrapTight wrapText="bothSides">
              <wp:wrapPolygon edited="0">
                <wp:start x="712" y="0"/>
                <wp:lineTo x="0" y="3913"/>
                <wp:lineTo x="0" y="21306"/>
                <wp:lineTo x="20656" y="21306"/>
                <wp:lineTo x="20656" y="3913"/>
                <wp:lineTo x="19232" y="0"/>
                <wp:lineTo x="712"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70255" cy="1261745"/>
                    </a:xfrm>
                    <a:prstGeom prst="rect">
                      <a:avLst/>
                    </a:prstGeom>
                    <a:noFill/>
                  </pic:spPr>
                </pic:pic>
              </a:graphicData>
            </a:graphic>
            <wp14:sizeRelH relativeFrom="page">
              <wp14:pctWidth>0</wp14:pctWidth>
            </wp14:sizeRelH>
            <wp14:sizeRelV relativeFrom="page">
              <wp14:pctHeight>0</wp14:pctHeight>
            </wp14:sizeRelV>
          </wp:anchor>
        </w:drawing>
      </w:r>
    </w:p>
    <w:p w:rsidR="004F3EFC" w:rsidRPr="00BC0701" w:rsidRDefault="004F3EFC" w:rsidP="004F3EFC">
      <w:pPr>
        <w:rPr>
          <w:rFonts w:cs="Arial"/>
          <w:b/>
        </w:rPr>
      </w:pPr>
      <w:r w:rsidRPr="00BC0701">
        <w:rPr>
          <w:rFonts w:cs="Arial"/>
          <w:b/>
        </w:rPr>
        <w:t>Description</w:t>
      </w:r>
    </w:p>
    <w:p w:rsidR="004F3EFC" w:rsidRPr="00BC0701" w:rsidRDefault="004F3EFC" w:rsidP="004F3EFC">
      <w:pPr>
        <w:rPr>
          <w:rFonts w:cs="Arial"/>
        </w:rPr>
      </w:pPr>
      <w:proofErr w:type="gramStart"/>
      <w:r w:rsidRPr="00BC0701">
        <w:rPr>
          <w:rFonts w:cs="Arial"/>
        </w:rPr>
        <w:t>A reduction in the opening hours of HWRC sites to save on operational costs.</w:t>
      </w:r>
      <w:proofErr w:type="gramEnd"/>
      <w:r w:rsidRPr="00BC0701">
        <w:rPr>
          <w:rFonts w:cs="Arial"/>
        </w:rPr>
        <w:t xml:space="preserve">  </w:t>
      </w:r>
      <w:proofErr w:type="gramStart"/>
      <w:r w:rsidRPr="00BC0701">
        <w:rPr>
          <w:rFonts w:cs="Arial"/>
        </w:rPr>
        <w:t>Potential to reduce opening hours and/or open days across the service.</w:t>
      </w:r>
      <w:proofErr w:type="gramEnd"/>
    </w:p>
    <w:p w:rsidR="004F3EFC" w:rsidRPr="00BC0701" w:rsidRDefault="004F3EFC" w:rsidP="004F3EFC">
      <w:pPr>
        <w:rPr>
          <w:rFonts w:cs="Arial"/>
          <w:b/>
        </w:rPr>
      </w:pPr>
      <w:r w:rsidRPr="00BC0701">
        <w:rPr>
          <w:rFonts w:cs="Arial"/>
          <w:b/>
        </w:rPr>
        <w:t>Status</w:t>
      </w:r>
    </w:p>
    <w:p w:rsidR="004F3EFC" w:rsidRPr="00BC0701" w:rsidRDefault="004F3EFC" w:rsidP="004F3EFC">
      <w:pPr>
        <w:rPr>
          <w:rFonts w:cs="Arial"/>
        </w:rPr>
      </w:pPr>
      <w:r w:rsidRPr="00BC0701">
        <w:rPr>
          <w:rFonts w:cs="Arial"/>
        </w:rPr>
        <w:t xml:space="preserve">Investigate Further: The saving from this approach will be linked to the cost of operating the sites as charged by the contractor.  </w:t>
      </w:r>
    </w:p>
    <w:p w:rsidR="004F3EFC" w:rsidRPr="00BC0701" w:rsidRDefault="004F3EFC" w:rsidP="004F3EFC">
      <w:pPr>
        <w:rPr>
          <w:rFonts w:cs="Arial"/>
          <w:b/>
        </w:rPr>
      </w:pPr>
      <w:r w:rsidRPr="00BC0701">
        <w:rPr>
          <w:rFonts w:cs="Arial"/>
          <w:b/>
        </w:rPr>
        <w:t>Assumptions</w:t>
      </w:r>
    </w:p>
    <w:p w:rsidR="004F3EFC" w:rsidRPr="00BC0701" w:rsidRDefault="004F3EFC" w:rsidP="004F3EFC">
      <w:pPr>
        <w:rPr>
          <w:rFonts w:cs="Arial"/>
        </w:rPr>
      </w:pPr>
      <w:r w:rsidRPr="00BC0701">
        <w:rPr>
          <w:rFonts w:cs="Arial"/>
        </w:rPr>
        <w:t xml:space="preserve">It is assumed that 8 sites close one day per week at a cost saving of £500/day.  The £500/day is derived from saving 4 staff over the </w:t>
      </w:r>
      <w:proofErr w:type="gramStart"/>
      <w:r w:rsidRPr="00BC0701">
        <w:rPr>
          <w:rFonts w:cs="Arial"/>
        </w:rPr>
        <w:t>12 hour</w:t>
      </w:r>
      <w:proofErr w:type="gramEnd"/>
      <w:r w:rsidRPr="00BC0701">
        <w:rPr>
          <w:rFonts w:cs="Arial"/>
        </w:rPr>
        <w:t xml:space="preserve"> opening period.  The existing site base charge is approximately £1150/day (including indexation). </w:t>
      </w:r>
    </w:p>
    <w:p w:rsidR="004F3EFC" w:rsidRPr="00BC0701" w:rsidRDefault="004F3EFC" w:rsidP="004F3EFC">
      <w:pPr>
        <w:rPr>
          <w:rFonts w:cs="Arial"/>
        </w:rPr>
      </w:pPr>
      <w:r w:rsidRPr="00BC0701">
        <w:rPr>
          <w:rFonts w:cs="Arial"/>
        </w:rPr>
        <w:t>It is not expected that there would be any impact on the quantities of waste generated for recycling or disposal.</w:t>
      </w:r>
    </w:p>
    <w:p w:rsidR="004F3EFC" w:rsidRPr="00BC0701" w:rsidRDefault="004F3EFC" w:rsidP="004F3EFC">
      <w:pPr>
        <w:rPr>
          <w:rFonts w:cs="Arial"/>
          <w:b/>
        </w:rPr>
      </w:pPr>
      <w:r w:rsidRPr="00BC0701">
        <w:rPr>
          <w:rFonts w:cs="Arial"/>
          <w:b/>
        </w:rPr>
        <w:t>Key Considerations</w:t>
      </w:r>
    </w:p>
    <w:p w:rsidR="004F3EFC" w:rsidRPr="00BC0701" w:rsidRDefault="004F3EFC" w:rsidP="004F3EFC">
      <w:pPr>
        <w:rPr>
          <w:rFonts w:cs="Arial"/>
        </w:rPr>
      </w:pPr>
      <w:r w:rsidRPr="00BC0701">
        <w:rPr>
          <w:rFonts w:cs="Arial"/>
        </w:rPr>
        <w:t>Where sites are closed on whole days it would be advisable to stagger closure days to ensure that the public have options to take waste to alternative sites.</w:t>
      </w:r>
    </w:p>
    <w:p w:rsidR="004F3EFC" w:rsidRPr="00BC0701" w:rsidRDefault="004F3EFC" w:rsidP="004F3EFC">
      <w:pPr>
        <w:rPr>
          <w:rFonts w:cs="Arial"/>
        </w:rPr>
      </w:pPr>
      <w:r w:rsidRPr="00BC0701">
        <w:rPr>
          <w:rFonts w:cs="Arial"/>
        </w:rPr>
        <w:t>Options to limit HWRC use to only LCR residents needs to be handled with care as there is no public sector saving and will depend on the balance of use of other residents using LCR sites and LCR residents using neighbouring authority sites.</w:t>
      </w:r>
    </w:p>
    <w:p w:rsidR="004F3EFC" w:rsidRPr="00BC0701" w:rsidRDefault="004F3EFC" w:rsidP="004F3EFC">
      <w:pPr>
        <w:rPr>
          <w:rFonts w:cs="Arial"/>
        </w:rPr>
      </w:pPr>
    </w:p>
    <w:p w:rsidR="004F3EFC" w:rsidRPr="00BC0701" w:rsidRDefault="004F3EFC" w:rsidP="008B5D7A">
      <w:pPr>
        <w:pStyle w:val="Heading4"/>
        <w:keepLines w:val="0"/>
        <w:numPr>
          <w:ilvl w:val="3"/>
          <w:numId w:val="6"/>
        </w:numPr>
        <w:spacing w:after="60" w:line="276" w:lineRule="auto"/>
        <w:rPr>
          <w:rFonts w:cs="Arial"/>
        </w:rPr>
      </w:pPr>
      <w:r>
        <w:rPr>
          <w:rFonts w:cs="Arial"/>
        </w:rPr>
        <w:t xml:space="preserve"> </w:t>
      </w:r>
      <w:r w:rsidRPr="00BC0701">
        <w:rPr>
          <w:rFonts w:cs="Arial"/>
        </w:rPr>
        <w:t>Summary Reduction in HWRC Numbers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1139"/>
        <w:gridCol w:w="2272"/>
        <w:gridCol w:w="1604"/>
        <w:gridCol w:w="2402"/>
      </w:tblGrid>
      <w:tr w:rsidR="004F3EFC" w:rsidRPr="00BC0701" w:rsidTr="004F3EFC">
        <w:tc>
          <w:tcPr>
            <w:tcW w:w="0" w:type="auto"/>
            <w:shd w:val="pct20" w:color="auto" w:fill="auto"/>
          </w:tcPr>
          <w:p w:rsidR="004F3EFC" w:rsidRPr="00BC0701" w:rsidRDefault="004F3EFC" w:rsidP="004F3EFC">
            <w:pPr>
              <w:jc w:val="both"/>
              <w:rPr>
                <w:rFonts w:eastAsia="MS Mincho" w:cs="Arial"/>
              </w:rPr>
            </w:pPr>
            <w:r w:rsidRPr="00BC0701">
              <w:rPr>
                <w:rFonts w:eastAsia="MS Mincho" w:cs="Arial"/>
              </w:rPr>
              <w:t>Saving opportunity descriptor</w:t>
            </w:r>
          </w:p>
        </w:tc>
        <w:tc>
          <w:tcPr>
            <w:tcW w:w="0" w:type="auto"/>
            <w:shd w:val="pct20" w:color="auto" w:fill="auto"/>
          </w:tcPr>
          <w:p w:rsidR="004F3EFC" w:rsidRPr="00BC0701" w:rsidRDefault="004F3EFC" w:rsidP="004F3EFC">
            <w:pPr>
              <w:jc w:val="both"/>
              <w:rPr>
                <w:rFonts w:eastAsia="MS Mincho" w:cs="Arial"/>
              </w:rPr>
            </w:pPr>
            <w:r w:rsidRPr="00BC0701">
              <w:rPr>
                <w:rFonts w:eastAsia="MS Mincho" w:cs="Arial"/>
              </w:rPr>
              <w:t>Periodicity</w:t>
            </w:r>
          </w:p>
        </w:tc>
        <w:tc>
          <w:tcPr>
            <w:tcW w:w="0" w:type="auto"/>
            <w:shd w:val="pct20" w:color="auto" w:fill="auto"/>
          </w:tcPr>
          <w:p w:rsidR="004F3EFC" w:rsidRPr="00BC0701" w:rsidRDefault="004F3EFC" w:rsidP="004F3EFC">
            <w:pPr>
              <w:jc w:val="both"/>
              <w:rPr>
                <w:rFonts w:eastAsia="MS Mincho" w:cs="Arial"/>
              </w:rPr>
            </w:pPr>
            <w:r w:rsidRPr="00BC0701">
              <w:rPr>
                <w:rFonts w:eastAsia="MS Mincho" w:cs="Arial"/>
              </w:rPr>
              <w:t>Invest to Save Requirement (2015/16 prices)</w:t>
            </w:r>
          </w:p>
        </w:tc>
        <w:tc>
          <w:tcPr>
            <w:tcW w:w="0" w:type="auto"/>
            <w:shd w:val="pct20" w:color="auto" w:fill="auto"/>
          </w:tcPr>
          <w:p w:rsidR="004F3EFC" w:rsidRPr="00BC0701" w:rsidRDefault="004F3EFC" w:rsidP="004F3EFC">
            <w:pPr>
              <w:jc w:val="both"/>
              <w:rPr>
                <w:rFonts w:eastAsia="MS Mincho" w:cs="Arial"/>
              </w:rPr>
            </w:pPr>
            <w:r w:rsidRPr="00BC0701">
              <w:rPr>
                <w:rFonts w:eastAsia="MS Mincho" w:cs="Arial"/>
              </w:rPr>
              <w:t>Opex Saving (2015/16 prices)</w:t>
            </w:r>
          </w:p>
        </w:tc>
        <w:tc>
          <w:tcPr>
            <w:tcW w:w="0" w:type="auto"/>
            <w:shd w:val="pct20" w:color="auto" w:fill="auto"/>
          </w:tcPr>
          <w:p w:rsidR="004F3EFC" w:rsidRPr="00BC0701" w:rsidRDefault="004F3EFC" w:rsidP="004F3EFC">
            <w:pPr>
              <w:jc w:val="both"/>
              <w:rPr>
                <w:rFonts w:eastAsia="MS Mincho" w:cs="Arial"/>
              </w:rPr>
            </w:pPr>
            <w:r w:rsidRPr="00BC0701">
              <w:rPr>
                <w:rFonts w:eastAsia="MS Mincho" w:cs="Arial"/>
              </w:rPr>
              <w:t>Capex Saving (2015/16 prices)</w:t>
            </w:r>
          </w:p>
        </w:tc>
      </w:tr>
      <w:tr w:rsidR="004F3EFC" w:rsidRPr="00BC0701" w:rsidTr="004F3EFC">
        <w:tc>
          <w:tcPr>
            <w:tcW w:w="0" w:type="auto"/>
            <w:shd w:val="clear" w:color="auto" w:fill="auto"/>
          </w:tcPr>
          <w:p w:rsidR="004F3EFC" w:rsidRPr="00BC0701" w:rsidRDefault="004F3EFC" w:rsidP="004F3EFC">
            <w:pPr>
              <w:jc w:val="both"/>
              <w:rPr>
                <w:rFonts w:eastAsia="MS Mincho" w:cs="Arial"/>
              </w:rPr>
            </w:pPr>
            <w:r w:rsidRPr="00BC0701">
              <w:rPr>
                <w:rFonts w:eastAsia="MS Mincho" w:cs="Arial"/>
              </w:rPr>
              <w:t>HWRC site reduction in numbers</w:t>
            </w:r>
          </w:p>
        </w:tc>
        <w:tc>
          <w:tcPr>
            <w:tcW w:w="0" w:type="auto"/>
            <w:shd w:val="clear" w:color="auto" w:fill="auto"/>
          </w:tcPr>
          <w:p w:rsidR="004F3EFC" w:rsidRPr="00BC0701" w:rsidRDefault="004F3EFC" w:rsidP="004F3EFC">
            <w:pPr>
              <w:jc w:val="both"/>
              <w:rPr>
                <w:rFonts w:eastAsia="MS Mincho" w:cs="Arial"/>
              </w:rPr>
            </w:pPr>
            <w:r w:rsidRPr="00BC0701">
              <w:rPr>
                <w:rFonts w:eastAsia="MS Mincho" w:cs="Arial"/>
              </w:rPr>
              <w:t>Annual</w:t>
            </w:r>
          </w:p>
        </w:tc>
        <w:tc>
          <w:tcPr>
            <w:tcW w:w="0" w:type="auto"/>
            <w:shd w:val="clear" w:color="auto" w:fill="auto"/>
          </w:tcPr>
          <w:p w:rsidR="004F3EFC" w:rsidRPr="00BC0701" w:rsidRDefault="004F3EFC" w:rsidP="004F3EFC">
            <w:pPr>
              <w:jc w:val="both"/>
              <w:rPr>
                <w:rFonts w:eastAsia="MS Mincho" w:cs="Arial"/>
              </w:rPr>
            </w:pPr>
            <w:r w:rsidRPr="00BC0701">
              <w:rPr>
                <w:rFonts w:eastAsia="MS Mincho" w:cs="Arial"/>
              </w:rPr>
              <w:t>Nil</w:t>
            </w:r>
          </w:p>
        </w:tc>
        <w:tc>
          <w:tcPr>
            <w:tcW w:w="0" w:type="auto"/>
            <w:shd w:val="clear" w:color="auto" w:fill="auto"/>
          </w:tcPr>
          <w:p w:rsidR="004F3EFC" w:rsidRPr="00BC0701" w:rsidRDefault="004F3EFC" w:rsidP="004F3EFC">
            <w:pPr>
              <w:jc w:val="both"/>
              <w:rPr>
                <w:rFonts w:eastAsia="MS Mincho" w:cs="Arial"/>
              </w:rPr>
            </w:pPr>
            <w:r w:rsidRPr="00BC0701">
              <w:rPr>
                <w:rFonts w:eastAsia="MS Mincho" w:cs="Arial"/>
              </w:rPr>
              <w:t>Up to £1m</w:t>
            </w:r>
          </w:p>
        </w:tc>
        <w:tc>
          <w:tcPr>
            <w:tcW w:w="0" w:type="auto"/>
            <w:shd w:val="clear" w:color="auto" w:fill="auto"/>
          </w:tcPr>
          <w:p w:rsidR="004F3EFC" w:rsidRPr="00BC0701" w:rsidRDefault="004F3EFC" w:rsidP="004F3EFC">
            <w:pPr>
              <w:jc w:val="both"/>
              <w:rPr>
                <w:rFonts w:eastAsia="MS Mincho" w:cs="Arial"/>
              </w:rPr>
            </w:pPr>
            <w:r w:rsidRPr="00BC0701">
              <w:rPr>
                <w:rFonts w:eastAsia="MS Mincho" w:cs="Arial"/>
              </w:rPr>
              <w:t>Dependant on which sites are closed and land values</w:t>
            </w:r>
          </w:p>
        </w:tc>
      </w:tr>
    </w:tbl>
    <w:p w:rsidR="004F3EFC" w:rsidRPr="00BC0701" w:rsidRDefault="004F3EFC" w:rsidP="004F3EFC">
      <w:pPr>
        <w:rPr>
          <w:rFonts w:cs="Arial"/>
          <w:b/>
        </w:rPr>
      </w:pPr>
      <w:r w:rsidRPr="00BC0701">
        <w:rPr>
          <w:rFonts w:cs="Arial"/>
          <w:noProof/>
          <w:lang w:val="en-US" w:eastAsia="en-US"/>
        </w:rPr>
        <w:drawing>
          <wp:anchor distT="0" distB="0" distL="114300" distR="114300" simplePos="0" relativeHeight="251671552" behindDoc="1" locked="0" layoutInCell="1" allowOverlap="1" wp14:anchorId="200F611F" wp14:editId="090DB3A3">
            <wp:simplePos x="0" y="0"/>
            <wp:positionH relativeFrom="column">
              <wp:posOffset>5006975</wp:posOffset>
            </wp:positionH>
            <wp:positionV relativeFrom="paragraph">
              <wp:posOffset>157480</wp:posOffset>
            </wp:positionV>
            <wp:extent cx="770255" cy="1261745"/>
            <wp:effectExtent l="0" t="0" r="0" b="8255"/>
            <wp:wrapTight wrapText="bothSides">
              <wp:wrapPolygon edited="0">
                <wp:start x="712" y="0"/>
                <wp:lineTo x="0" y="3913"/>
                <wp:lineTo x="0" y="21306"/>
                <wp:lineTo x="20656" y="21306"/>
                <wp:lineTo x="20656" y="3913"/>
                <wp:lineTo x="19232" y="0"/>
                <wp:lineTo x="712"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70255" cy="1261745"/>
                    </a:xfrm>
                    <a:prstGeom prst="rect">
                      <a:avLst/>
                    </a:prstGeom>
                    <a:noFill/>
                  </pic:spPr>
                </pic:pic>
              </a:graphicData>
            </a:graphic>
            <wp14:sizeRelH relativeFrom="page">
              <wp14:pctWidth>0</wp14:pctWidth>
            </wp14:sizeRelH>
            <wp14:sizeRelV relativeFrom="page">
              <wp14:pctHeight>0</wp14:pctHeight>
            </wp14:sizeRelV>
          </wp:anchor>
        </w:drawing>
      </w:r>
    </w:p>
    <w:p w:rsidR="004F3EFC" w:rsidRPr="00BC0701" w:rsidRDefault="004F3EFC" w:rsidP="004F3EFC">
      <w:pPr>
        <w:rPr>
          <w:rFonts w:cs="Arial"/>
          <w:b/>
        </w:rPr>
      </w:pPr>
      <w:r w:rsidRPr="00BC0701">
        <w:rPr>
          <w:rFonts w:cs="Arial"/>
          <w:b/>
        </w:rPr>
        <w:t>Description</w:t>
      </w:r>
    </w:p>
    <w:p w:rsidR="004F3EFC" w:rsidRPr="00BC0701" w:rsidRDefault="004F3EFC" w:rsidP="004F3EFC">
      <w:pPr>
        <w:rPr>
          <w:rFonts w:cs="Arial"/>
        </w:rPr>
      </w:pPr>
      <w:proofErr w:type="gramStart"/>
      <w:r w:rsidRPr="00BC0701">
        <w:rPr>
          <w:rFonts w:cs="Arial"/>
        </w:rPr>
        <w:t>A reduction in the number of HWRC sites.</w:t>
      </w:r>
      <w:proofErr w:type="gramEnd"/>
      <w:r w:rsidRPr="00BC0701">
        <w:rPr>
          <w:rFonts w:cs="Arial"/>
        </w:rPr>
        <w:t xml:space="preserve">  The saving derived from this approach would be linked to the charge levied by the contractor for each site. The sites selected (and these are only examples at this stage) </w:t>
      </w:r>
      <w:r>
        <w:rPr>
          <w:rFonts w:cs="Arial"/>
        </w:rPr>
        <w:t>are the smaller sites</w:t>
      </w:r>
      <w:r w:rsidRPr="00BC0701">
        <w:rPr>
          <w:rFonts w:cs="Arial"/>
        </w:rPr>
        <w:t xml:space="preserve">, which the contract currently charges £1.2m/annum to operate.  However it has to be expected that the </w:t>
      </w:r>
      <w:r w:rsidRPr="00BC0701">
        <w:rPr>
          <w:rFonts w:cs="Arial"/>
        </w:rPr>
        <w:lastRenderedPageBreak/>
        <w:t>contractor would claim that there would be increased operating costs at other sites due to a transfer of waste inputs. On this basis a saving of £1m per year is estimated.</w:t>
      </w:r>
    </w:p>
    <w:p w:rsidR="004F3EFC" w:rsidRPr="00BC0701" w:rsidRDefault="004F3EFC" w:rsidP="004F3EFC">
      <w:pPr>
        <w:rPr>
          <w:rFonts w:cs="Arial"/>
          <w:b/>
        </w:rPr>
      </w:pPr>
      <w:r w:rsidRPr="00BC0701">
        <w:rPr>
          <w:rFonts w:cs="Arial"/>
          <w:b/>
        </w:rPr>
        <w:t>Status</w:t>
      </w:r>
    </w:p>
    <w:p w:rsidR="004F3EFC" w:rsidRPr="00BC0701" w:rsidRDefault="004F3EFC" w:rsidP="004F3EFC">
      <w:pPr>
        <w:rPr>
          <w:rFonts w:cs="Arial"/>
        </w:rPr>
      </w:pPr>
      <w:r w:rsidRPr="00BC0701">
        <w:rPr>
          <w:rFonts w:cs="Arial"/>
        </w:rPr>
        <w:t>Investigate Further: A business case would need to be developed in order to provide an accurate assessment of the savings, the impact on waste flows, the necessary communication process and transition costs and the mechanism for negotiating this change with the Contractor.</w:t>
      </w:r>
    </w:p>
    <w:p w:rsidR="004F3EFC" w:rsidRPr="00BC0701" w:rsidRDefault="004F3EFC" w:rsidP="004F3EFC">
      <w:pPr>
        <w:rPr>
          <w:rFonts w:cs="Arial"/>
          <w:b/>
        </w:rPr>
      </w:pPr>
      <w:r w:rsidRPr="00BC0701">
        <w:rPr>
          <w:rFonts w:cs="Arial"/>
          <w:b/>
        </w:rPr>
        <w:t>Assumptions</w:t>
      </w:r>
    </w:p>
    <w:p w:rsidR="004F3EFC" w:rsidRPr="00BC0701" w:rsidRDefault="004F3EFC" w:rsidP="004F3EFC">
      <w:pPr>
        <w:rPr>
          <w:rFonts w:cs="Arial"/>
        </w:rPr>
      </w:pPr>
      <w:r w:rsidRPr="00BC0701">
        <w:rPr>
          <w:rFonts w:cs="Arial"/>
        </w:rPr>
        <w:t>The cost savings are simply the contractual base costs for the sites by closing 4 sites</w:t>
      </w:r>
    </w:p>
    <w:p w:rsidR="004F3EFC" w:rsidRPr="00BC0701" w:rsidRDefault="004F3EFC" w:rsidP="008B5D7A">
      <w:pPr>
        <w:numPr>
          <w:ilvl w:val="0"/>
          <w:numId w:val="8"/>
        </w:numPr>
        <w:spacing w:after="0" w:line="276" w:lineRule="auto"/>
        <w:ind w:left="714" w:hanging="357"/>
        <w:rPr>
          <w:rFonts w:cs="Arial"/>
        </w:rPr>
      </w:pPr>
      <w:r w:rsidRPr="00BC0701">
        <w:rPr>
          <w:rFonts w:cs="Arial"/>
        </w:rPr>
        <w:t>Formby</w:t>
      </w:r>
    </w:p>
    <w:p w:rsidR="004F3EFC" w:rsidRPr="00BC0701" w:rsidRDefault="004F3EFC" w:rsidP="008B5D7A">
      <w:pPr>
        <w:numPr>
          <w:ilvl w:val="0"/>
          <w:numId w:val="8"/>
        </w:numPr>
        <w:spacing w:after="0" w:line="276" w:lineRule="auto"/>
        <w:ind w:left="714" w:hanging="357"/>
        <w:rPr>
          <w:rFonts w:cs="Arial"/>
        </w:rPr>
      </w:pPr>
      <w:r w:rsidRPr="00BC0701">
        <w:rPr>
          <w:rFonts w:cs="Arial"/>
        </w:rPr>
        <w:t>Johnson’s lane</w:t>
      </w:r>
    </w:p>
    <w:p w:rsidR="004F3EFC" w:rsidRPr="00BC0701" w:rsidRDefault="004F3EFC" w:rsidP="008B5D7A">
      <w:pPr>
        <w:numPr>
          <w:ilvl w:val="0"/>
          <w:numId w:val="8"/>
        </w:numPr>
        <w:spacing w:after="0" w:line="276" w:lineRule="auto"/>
        <w:ind w:left="714" w:hanging="357"/>
        <w:rPr>
          <w:rFonts w:cs="Arial"/>
        </w:rPr>
      </w:pPr>
      <w:proofErr w:type="spellStart"/>
      <w:r w:rsidRPr="00BC0701">
        <w:rPr>
          <w:rFonts w:cs="Arial"/>
        </w:rPr>
        <w:t>Rainhill</w:t>
      </w:r>
      <w:proofErr w:type="spellEnd"/>
    </w:p>
    <w:p w:rsidR="004F3EFC" w:rsidRPr="00BC0701" w:rsidRDefault="004F3EFC" w:rsidP="008B5D7A">
      <w:pPr>
        <w:numPr>
          <w:ilvl w:val="0"/>
          <w:numId w:val="8"/>
        </w:numPr>
        <w:spacing w:after="0" w:line="276" w:lineRule="auto"/>
        <w:ind w:left="714" w:hanging="357"/>
        <w:rPr>
          <w:rFonts w:cs="Arial"/>
        </w:rPr>
      </w:pPr>
      <w:r w:rsidRPr="00BC0701">
        <w:rPr>
          <w:rFonts w:cs="Arial"/>
        </w:rPr>
        <w:t>West Kirby</w:t>
      </w:r>
    </w:p>
    <w:p w:rsidR="004F3EFC" w:rsidRPr="00BC0701" w:rsidRDefault="004F3EFC" w:rsidP="004F3EFC">
      <w:pPr>
        <w:rPr>
          <w:rFonts w:cs="Arial"/>
        </w:rPr>
      </w:pPr>
      <w:r w:rsidRPr="00BC0701">
        <w:rPr>
          <w:rFonts w:cs="Arial"/>
        </w:rPr>
        <w:t>An assumption of a 5% increase in costs for the remaining sites derives a £200k extra cost.</w:t>
      </w:r>
    </w:p>
    <w:p w:rsidR="004F3EFC" w:rsidRPr="00BC0701" w:rsidRDefault="004F3EFC" w:rsidP="004F3EFC">
      <w:pPr>
        <w:rPr>
          <w:rFonts w:cs="Arial"/>
        </w:rPr>
      </w:pPr>
      <w:r w:rsidRPr="00BC0701">
        <w:rPr>
          <w:rFonts w:cs="Arial"/>
        </w:rPr>
        <w:t xml:space="preserve"> It is not expected that there would be any substantial impact on the quantities of waste generated for recycling or disposal.</w:t>
      </w:r>
    </w:p>
    <w:p w:rsidR="004F3EFC" w:rsidRPr="00BC0701" w:rsidRDefault="004F3EFC" w:rsidP="004F3EFC">
      <w:pPr>
        <w:rPr>
          <w:rFonts w:cs="Arial"/>
          <w:b/>
        </w:rPr>
      </w:pPr>
      <w:r w:rsidRPr="00BC0701">
        <w:rPr>
          <w:rFonts w:cs="Arial"/>
          <w:b/>
        </w:rPr>
        <w:t>Key Considerations</w:t>
      </w:r>
    </w:p>
    <w:p w:rsidR="004F3EFC" w:rsidRPr="00BC0701" w:rsidRDefault="004F3EFC" w:rsidP="004F3EFC">
      <w:pPr>
        <w:rPr>
          <w:rFonts w:cs="Arial"/>
        </w:rPr>
      </w:pPr>
      <w:r w:rsidRPr="00BC0701">
        <w:rPr>
          <w:rFonts w:cs="Arial"/>
        </w:rPr>
        <w:t xml:space="preserve">This change would require political support.  There would be some requirement to increase the monitoring for </w:t>
      </w:r>
      <w:proofErr w:type="gramStart"/>
      <w:r w:rsidRPr="00BC0701">
        <w:rPr>
          <w:rFonts w:cs="Arial"/>
        </w:rPr>
        <w:t>fly-tipping</w:t>
      </w:r>
      <w:proofErr w:type="gramEnd"/>
      <w:r w:rsidRPr="00BC0701">
        <w:rPr>
          <w:rFonts w:cs="Arial"/>
        </w:rPr>
        <w:t xml:space="preserve"> but experience in other authorities has shown limited (but not zero) problems with increases in fly-tipping when HWRC sites are closed.</w:t>
      </w:r>
    </w:p>
    <w:p w:rsidR="004F3EFC" w:rsidRPr="00BC0701" w:rsidRDefault="004F3EFC" w:rsidP="008B5D7A">
      <w:pPr>
        <w:pStyle w:val="Heading4"/>
        <w:keepLines w:val="0"/>
        <w:numPr>
          <w:ilvl w:val="3"/>
          <w:numId w:val="6"/>
        </w:numPr>
        <w:spacing w:after="60" w:line="276" w:lineRule="auto"/>
        <w:rPr>
          <w:rFonts w:cs="Arial"/>
        </w:rPr>
      </w:pPr>
      <w:r>
        <w:rPr>
          <w:rFonts w:cs="Arial"/>
        </w:rPr>
        <w:t xml:space="preserve"> </w:t>
      </w:r>
      <w:r w:rsidRPr="00BC0701">
        <w:rPr>
          <w:rFonts w:cs="Arial"/>
        </w:rPr>
        <w:t>Summary Permit 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1139"/>
        <w:gridCol w:w="1703"/>
        <w:gridCol w:w="2660"/>
        <w:gridCol w:w="1243"/>
      </w:tblGrid>
      <w:tr w:rsidR="004F3EFC" w:rsidRPr="00BC0701" w:rsidTr="004F3EFC">
        <w:tc>
          <w:tcPr>
            <w:tcW w:w="0" w:type="auto"/>
            <w:shd w:val="pct20" w:color="auto" w:fill="auto"/>
          </w:tcPr>
          <w:p w:rsidR="004F3EFC" w:rsidRPr="00BC0701" w:rsidRDefault="004F3EFC" w:rsidP="004F3EFC">
            <w:pPr>
              <w:jc w:val="both"/>
              <w:rPr>
                <w:rFonts w:eastAsia="MS Mincho" w:cs="Arial"/>
              </w:rPr>
            </w:pPr>
            <w:r w:rsidRPr="00BC0701">
              <w:rPr>
                <w:rFonts w:eastAsia="MS Mincho" w:cs="Arial"/>
              </w:rPr>
              <w:t>Saving opportunity descriptor</w:t>
            </w:r>
          </w:p>
        </w:tc>
        <w:tc>
          <w:tcPr>
            <w:tcW w:w="0" w:type="auto"/>
            <w:shd w:val="pct20" w:color="auto" w:fill="auto"/>
          </w:tcPr>
          <w:p w:rsidR="004F3EFC" w:rsidRPr="00BC0701" w:rsidRDefault="004F3EFC" w:rsidP="004F3EFC">
            <w:pPr>
              <w:jc w:val="both"/>
              <w:rPr>
                <w:rFonts w:eastAsia="MS Mincho" w:cs="Arial"/>
              </w:rPr>
            </w:pPr>
            <w:r w:rsidRPr="00BC0701">
              <w:rPr>
                <w:rFonts w:eastAsia="MS Mincho" w:cs="Arial"/>
              </w:rPr>
              <w:t>Periodicity</w:t>
            </w:r>
          </w:p>
        </w:tc>
        <w:tc>
          <w:tcPr>
            <w:tcW w:w="0" w:type="auto"/>
            <w:shd w:val="pct20" w:color="auto" w:fill="auto"/>
          </w:tcPr>
          <w:p w:rsidR="004F3EFC" w:rsidRPr="00BC0701" w:rsidRDefault="004F3EFC" w:rsidP="004F3EFC">
            <w:pPr>
              <w:jc w:val="both"/>
              <w:rPr>
                <w:rFonts w:eastAsia="MS Mincho" w:cs="Arial"/>
              </w:rPr>
            </w:pPr>
            <w:r w:rsidRPr="00BC0701">
              <w:rPr>
                <w:rFonts w:eastAsia="MS Mincho" w:cs="Arial"/>
              </w:rPr>
              <w:t>Invest to Save Requirement (2015/16 prices)</w:t>
            </w:r>
          </w:p>
        </w:tc>
        <w:tc>
          <w:tcPr>
            <w:tcW w:w="0" w:type="auto"/>
            <w:shd w:val="pct20" w:color="auto" w:fill="auto"/>
          </w:tcPr>
          <w:p w:rsidR="004F3EFC" w:rsidRPr="00BC0701" w:rsidRDefault="004F3EFC" w:rsidP="004F3EFC">
            <w:pPr>
              <w:jc w:val="both"/>
              <w:rPr>
                <w:rFonts w:eastAsia="MS Mincho" w:cs="Arial"/>
              </w:rPr>
            </w:pPr>
            <w:r w:rsidRPr="00BC0701">
              <w:rPr>
                <w:rFonts w:eastAsia="MS Mincho" w:cs="Arial"/>
              </w:rPr>
              <w:t>Opex Saving (2015/16 prices)</w:t>
            </w:r>
          </w:p>
        </w:tc>
        <w:tc>
          <w:tcPr>
            <w:tcW w:w="0" w:type="auto"/>
            <w:shd w:val="pct20" w:color="auto" w:fill="auto"/>
          </w:tcPr>
          <w:p w:rsidR="004F3EFC" w:rsidRPr="00BC0701" w:rsidRDefault="004F3EFC" w:rsidP="004F3EFC">
            <w:pPr>
              <w:jc w:val="both"/>
              <w:rPr>
                <w:rFonts w:eastAsia="MS Mincho" w:cs="Arial"/>
              </w:rPr>
            </w:pPr>
            <w:r w:rsidRPr="00BC0701">
              <w:rPr>
                <w:rFonts w:eastAsia="MS Mincho" w:cs="Arial"/>
              </w:rPr>
              <w:t>Capex Saving (2015/16 prices)</w:t>
            </w:r>
          </w:p>
        </w:tc>
      </w:tr>
      <w:tr w:rsidR="004F3EFC" w:rsidRPr="00BC0701" w:rsidTr="004F3EFC">
        <w:tc>
          <w:tcPr>
            <w:tcW w:w="0" w:type="auto"/>
            <w:shd w:val="clear" w:color="auto" w:fill="auto"/>
          </w:tcPr>
          <w:p w:rsidR="004F3EFC" w:rsidRPr="00BC0701" w:rsidRDefault="004F3EFC" w:rsidP="004F3EFC">
            <w:pPr>
              <w:jc w:val="both"/>
              <w:rPr>
                <w:rFonts w:eastAsia="MS Mincho" w:cs="Arial"/>
              </w:rPr>
            </w:pPr>
            <w:r w:rsidRPr="00BC0701">
              <w:rPr>
                <w:rFonts w:cs="Arial"/>
              </w:rPr>
              <w:t xml:space="preserve">Excluding Commercial and Trade waste and resident from neighbouring Councils outside of the Liverpool City Region. </w:t>
            </w:r>
          </w:p>
        </w:tc>
        <w:tc>
          <w:tcPr>
            <w:tcW w:w="0" w:type="auto"/>
            <w:shd w:val="clear" w:color="auto" w:fill="auto"/>
          </w:tcPr>
          <w:p w:rsidR="004F3EFC" w:rsidRPr="00BC0701" w:rsidRDefault="004F3EFC" w:rsidP="004F3EFC">
            <w:pPr>
              <w:jc w:val="both"/>
              <w:rPr>
                <w:rFonts w:eastAsia="MS Mincho" w:cs="Arial"/>
              </w:rPr>
            </w:pPr>
            <w:r w:rsidRPr="00BC0701">
              <w:rPr>
                <w:rFonts w:eastAsia="MS Mincho" w:cs="Arial"/>
              </w:rPr>
              <w:t>One Off</w:t>
            </w:r>
          </w:p>
        </w:tc>
        <w:tc>
          <w:tcPr>
            <w:tcW w:w="0" w:type="auto"/>
            <w:shd w:val="clear" w:color="auto" w:fill="auto"/>
          </w:tcPr>
          <w:p w:rsidR="004F3EFC" w:rsidRPr="00BC0701" w:rsidRDefault="004F3EFC" w:rsidP="004F3EFC">
            <w:pPr>
              <w:jc w:val="both"/>
              <w:rPr>
                <w:rFonts w:eastAsia="MS Mincho" w:cs="Arial"/>
              </w:rPr>
            </w:pPr>
            <w:r w:rsidRPr="00BC0701">
              <w:rPr>
                <w:rFonts w:eastAsia="MS Mincho" w:cs="Arial"/>
              </w:rPr>
              <w:t>£50k to develop permit system</w:t>
            </w:r>
          </w:p>
        </w:tc>
        <w:tc>
          <w:tcPr>
            <w:tcW w:w="0" w:type="auto"/>
            <w:shd w:val="clear" w:color="auto" w:fill="auto"/>
          </w:tcPr>
          <w:p w:rsidR="004F3EFC" w:rsidRPr="00BC0701" w:rsidRDefault="004F3EFC" w:rsidP="004F3EFC">
            <w:pPr>
              <w:jc w:val="both"/>
              <w:rPr>
                <w:rFonts w:eastAsia="MS Mincho" w:cs="Arial"/>
              </w:rPr>
            </w:pPr>
            <w:r w:rsidRPr="00BC0701">
              <w:rPr>
                <w:rFonts w:eastAsia="MS Mincho" w:cs="Arial"/>
              </w:rPr>
              <w:t xml:space="preserve">Varies with flow of traffic and could be </w:t>
            </w:r>
            <w:proofErr w:type="spellStart"/>
            <w:r w:rsidRPr="00BC0701">
              <w:rPr>
                <w:rFonts w:eastAsia="MS Mincho" w:cs="Arial"/>
              </w:rPr>
              <w:t>upto</w:t>
            </w:r>
            <w:proofErr w:type="spellEnd"/>
            <w:r w:rsidRPr="00BC0701">
              <w:rPr>
                <w:rFonts w:eastAsia="MS Mincho" w:cs="Arial"/>
              </w:rPr>
              <w:t xml:space="preserve"> £250k or could cost the authority if there are more LCR residents using neighbouring sites</w:t>
            </w:r>
          </w:p>
        </w:tc>
        <w:tc>
          <w:tcPr>
            <w:tcW w:w="0" w:type="auto"/>
            <w:shd w:val="clear" w:color="auto" w:fill="auto"/>
          </w:tcPr>
          <w:p w:rsidR="004F3EFC" w:rsidRPr="00BC0701" w:rsidRDefault="004F3EFC" w:rsidP="004F3EFC">
            <w:pPr>
              <w:jc w:val="both"/>
              <w:rPr>
                <w:rFonts w:eastAsia="MS Mincho" w:cs="Arial"/>
              </w:rPr>
            </w:pPr>
            <w:r w:rsidRPr="00BC0701">
              <w:rPr>
                <w:rFonts w:eastAsia="MS Mincho" w:cs="Arial"/>
              </w:rPr>
              <w:t>Nil</w:t>
            </w:r>
          </w:p>
        </w:tc>
      </w:tr>
    </w:tbl>
    <w:p w:rsidR="004F3EFC" w:rsidRPr="00BC0701" w:rsidRDefault="004F3EFC" w:rsidP="004F3EFC">
      <w:pPr>
        <w:rPr>
          <w:rFonts w:cs="Arial"/>
          <w:b/>
        </w:rPr>
      </w:pPr>
      <w:r w:rsidRPr="00BC0701">
        <w:rPr>
          <w:rFonts w:cs="Arial"/>
          <w:noProof/>
          <w:lang w:val="en-US" w:eastAsia="en-US"/>
        </w:rPr>
        <w:drawing>
          <wp:anchor distT="0" distB="0" distL="114300" distR="114300" simplePos="0" relativeHeight="251672576" behindDoc="1" locked="0" layoutInCell="1" allowOverlap="1" wp14:anchorId="6DB131BA" wp14:editId="41CDB1A5">
            <wp:simplePos x="0" y="0"/>
            <wp:positionH relativeFrom="column">
              <wp:posOffset>5029200</wp:posOffset>
            </wp:positionH>
            <wp:positionV relativeFrom="paragraph">
              <wp:posOffset>103505</wp:posOffset>
            </wp:positionV>
            <wp:extent cx="770255" cy="1261745"/>
            <wp:effectExtent l="0" t="0" r="0" b="8255"/>
            <wp:wrapTight wrapText="bothSides">
              <wp:wrapPolygon edited="0">
                <wp:start x="712" y="0"/>
                <wp:lineTo x="0" y="3913"/>
                <wp:lineTo x="0" y="21306"/>
                <wp:lineTo x="20656" y="21306"/>
                <wp:lineTo x="20656" y="3913"/>
                <wp:lineTo x="19232" y="0"/>
                <wp:lineTo x="712"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70255" cy="1261745"/>
                    </a:xfrm>
                    <a:prstGeom prst="rect">
                      <a:avLst/>
                    </a:prstGeom>
                    <a:noFill/>
                  </pic:spPr>
                </pic:pic>
              </a:graphicData>
            </a:graphic>
            <wp14:sizeRelH relativeFrom="page">
              <wp14:pctWidth>0</wp14:pctWidth>
            </wp14:sizeRelH>
            <wp14:sizeRelV relativeFrom="page">
              <wp14:pctHeight>0</wp14:pctHeight>
            </wp14:sizeRelV>
          </wp:anchor>
        </w:drawing>
      </w:r>
    </w:p>
    <w:p w:rsidR="004F3EFC" w:rsidRPr="00BC0701" w:rsidRDefault="004F3EFC" w:rsidP="004F3EFC">
      <w:pPr>
        <w:rPr>
          <w:rFonts w:cs="Arial"/>
          <w:b/>
        </w:rPr>
      </w:pPr>
      <w:r w:rsidRPr="00BC0701">
        <w:rPr>
          <w:rFonts w:cs="Arial"/>
          <w:b/>
        </w:rPr>
        <w:t>Description</w:t>
      </w:r>
    </w:p>
    <w:p w:rsidR="004F3EFC" w:rsidRPr="00BC0701" w:rsidRDefault="004F3EFC" w:rsidP="004F3EFC">
      <w:pPr>
        <w:rPr>
          <w:rFonts w:cs="Arial"/>
        </w:rPr>
      </w:pPr>
      <w:r w:rsidRPr="00BC0701">
        <w:rPr>
          <w:rFonts w:cs="Arial"/>
        </w:rPr>
        <w:t xml:space="preserve">Restricting HWRC use to residents from within the Liverpool City Region and excluding commercial and trade waste. Savings would be transfer between neighbouring authorities and </w:t>
      </w:r>
      <w:r>
        <w:rPr>
          <w:rFonts w:cs="Arial"/>
        </w:rPr>
        <w:t>MRWA</w:t>
      </w:r>
      <w:r w:rsidRPr="00BC0701">
        <w:rPr>
          <w:rFonts w:cs="Arial"/>
        </w:rPr>
        <w:t>.  Savings may be as high as £250k but equally could lead to similar increased costs if the balance of use is that more LCR residents use neighbouring authority sites than neighbouring authority residents use LCR sites.</w:t>
      </w:r>
    </w:p>
    <w:p w:rsidR="004F3EFC" w:rsidRPr="00BC0701" w:rsidRDefault="004F3EFC" w:rsidP="004F3EFC">
      <w:pPr>
        <w:rPr>
          <w:rFonts w:cs="Arial"/>
          <w:b/>
        </w:rPr>
      </w:pPr>
      <w:r w:rsidRPr="00BC0701">
        <w:rPr>
          <w:rFonts w:cs="Arial"/>
          <w:b/>
        </w:rPr>
        <w:t>Status</w:t>
      </w:r>
    </w:p>
    <w:p w:rsidR="004F3EFC" w:rsidRPr="00BC0701" w:rsidRDefault="004F3EFC" w:rsidP="004F3EFC">
      <w:pPr>
        <w:rPr>
          <w:rFonts w:cs="Arial"/>
        </w:rPr>
      </w:pPr>
      <w:r w:rsidRPr="00BC0701">
        <w:rPr>
          <w:rFonts w:cs="Arial"/>
        </w:rPr>
        <w:t>Investigate Further: Work would have to be undertaken to assess the tonnage of trade and commercial waste currently deposited at the HWRC sites and therefore an accurate assessment of savings.</w:t>
      </w:r>
    </w:p>
    <w:p w:rsidR="004F3EFC" w:rsidRPr="00BC0701" w:rsidRDefault="004F3EFC" w:rsidP="004F3EFC">
      <w:pPr>
        <w:rPr>
          <w:rFonts w:cs="Arial"/>
          <w:b/>
        </w:rPr>
      </w:pPr>
      <w:r w:rsidRPr="00BC0701">
        <w:rPr>
          <w:rFonts w:cs="Arial"/>
          <w:b/>
        </w:rPr>
        <w:t>Assumptions</w:t>
      </w:r>
    </w:p>
    <w:p w:rsidR="004F3EFC" w:rsidRPr="00BC0701" w:rsidRDefault="004F3EFC" w:rsidP="004F3EFC">
      <w:pPr>
        <w:rPr>
          <w:rFonts w:cs="Arial"/>
        </w:rPr>
      </w:pPr>
      <w:r w:rsidRPr="00BC0701">
        <w:rPr>
          <w:rFonts w:cs="Arial"/>
        </w:rPr>
        <w:t xml:space="preserve">This aspect does require additional survey work to understand the extent of the issue and if the magnitude is sufficient require action.  </w:t>
      </w:r>
    </w:p>
    <w:p w:rsidR="004F3EFC" w:rsidRPr="00BC0701" w:rsidRDefault="004F3EFC" w:rsidP="004F3EFC">
      <w:pPr>
        <w:rPr>
          <w:rFonts w:cs="Arial"/>
          <w:b/>
        </w:rPr>
      </w:pPr>
      <w:r w:rsidRPr="00BC0701">
        <w:rPr>
          <w:rFonts w:cs="Arial"/>
          <w:b/>
        </w:rPr>
        <w:t>Key Considerations</w:t>
      </w:r>
    </w:p>
    <w:p w:rsidR="004F3EFC" w:rsidRPr="00BC0701" w:rsidRDefault="004F3EFC" w:rsidP="004F3EFC">
      <w:pPr>
        <w:rPr>
          <w:rFonts w:cs="Arial"/>
        </w:rPr>
      </w:pPr>
      <w:r w:rsidRPr="00BC0701">
        <w:rPr>
          <w:rFonts w:cs="Arial"/>
        </w:rPr>
        <w:t xml:space="preserve">Alternative options may be monitoring and a payment from or to the neighbouring authorities so that the public are not inconvenienced but the costs are accurately allocated.  As previously stated this is not a saving to the overall public purse only addresses the allocation of costs for the services used by </w:t>
      </w:r>
      <w:r w:rsidRPr="00BC0701">
        <w:rPr>
          <w:rFonts w:cs="Arial"/>
        </w:rPr>
        <w:lastRenderedPageBreak/>
        <w:t xml:space="preserve">residents.  In addition the costs to </w:t>
      </w:r>
      <w:r>
        <w:rPr>
          <w:rFonts w:cs="Arial"/>
        </w:rPr>
        <w:t>MRWA</w:t>
      </w:r>
      <w:r w:rsidRPr="00BC0701">
        <w:rPr>
          <w:rFonts w:cs="Arial"/>
        </w:rPr>
        <w:t xml:space="preserve"> may be increased if the flow of material is outwards rather than inwards due to more LCR residents using other sites than non-LCR residents using LCR sites.</w:t>
      </w:r>
    </w:p>
    <w:p w:rsidR="004F3EFC" w:rsidRPr="00BC0701" w:rsidRDefault="004F3EFC" w:rsidP="008B5D7A">
      <w:pPr>
        <w:pStyle w:val="Heading1"/>
        <w:keepLines w:val="0"/>
        <w:pageBreakBefore w:val="0"/>
        <w:numPr>
          <w:ilvl w:val="0"/>
          <w:numId w:val="6"/>
        </w:numPr>
        <w:spacing w:before="240" w:after="60" w:line="276" w:lineRule="auto"/>
      </w:pPr>
      <w:bookmarkStart w:id="23" w:name="_Toc345073629"/>
      <w:bookmarkStart w:id="24" w:name="_Toc345073974"/>
      <w:r w:rsidRPr="00BC0701">
        <w:t>Resource Recovery Contract</w:t>
      </w:r>
      <w:bookmarkEnd w:id="23"/>
      <w:bookmarkEnd w:id="24"/>
      <w:r w:rsidRPr="00BC0701">
        <w:t xml:space="preserve"> </w:t>
      </w:r>
    </w:p>
    <w:p w:rsidR="004F3EFC" w:rsidRPr="00BC0701" w:rsidRDefault="004F3EFC" w:rsidP="004F3EFC">
      <w:pPr>
        <w:rPr>
          <w:rFonts w:cs="Arial"/>
        </w:rPr>
      </w:pPr>
      <w:r w:rsidRPr="00BC0701">
        <w:rPr>
          <w:rFonts w:cs="Arial"/>
        </w:rPr>
        <w:t xml:space="preserve">The RRC is the main disposal contract for municipal waste in Merseyside.  The project consists of two facilities, a rail transfer loading station in </w:t>
      </w:r>
      <w:proofErr w:type="spellStart"/>
      <w:r w:rsidRPr="00BC0701">
        <w:rPr>
          <w:rFonts w:cs="Arial"/>
        </w:rPr>
        <w:t>Huyton</w:t>
      </w:r>
      <w:proofErr w:type="spellEnd"/>
      <w:r w:rsidRPr="00BC0701">
        <w:rPr>
          <w:rFonts w:cs="Arial"/>
        </w:rPr>
        <w:t xml:space="preserve"> and a 444 </w:t>
      </w:r>
      <w:proofErr w:type="spellStart"/>
      <w:r w:rsidRPr="00BC0701">
        <w:rPr>
          <w:rFonts w:cs="Arial"/>
        </w:rPr>
        <w:t>ktpa</w:t>
      </w:r>
      <w:proofErr w:type="spellEnd"/>
      <w:r w:rsidRPr="00BC0701">
        <w:rPr>
          <w:rFonts w:cs="Arial"/>
        </w:rPr>
        <w:t xml:space="preserve"> combined heat and power (CHP) energy recovery facility (ERF) at Teesside.  The contractor, Merseyside Recovery Limited (a joint venture between SUEZ and </w:t>
      </w:r>
      <w:proofErr w:type="spellStart"/>
      <w:r>
        <w:rPr>
          <w:rFonts w:cs="Arial"/>
        </w:rPr>
        <w:t>Sembcorp</w:t>
      </w:r>
      <w:proofErr w:type="spellEnd"/>
      <w:r>
        <w:rPr>
          <w:rFonts w:cs="Arial"/>
        </w:rPr>
        <w:t>)</w:t>
      </w:r>
      <w:r w:rsidRPr="00BC0701">
        <w:rPr>
          <w:rFonts w:cs="Arial"/>
        </w:rPr>
        <w:t xml:space="preserve"> are responsible for accepting the waste at the </w:t>
      </w:r>
      <w:proofErr w:type="spellStart"/>
      <w:r w:rsidRPr="00BC0701">
        <w:rPr>
          <w:rFonts w:cs="Arial"/>
        </w:rPr>
        <w:t>Huyton</w:t>
      </w:r>
      <w:proofErr w:type="spellEnd"/>
      <w:r w:rsidRPr="00BC0701">
        <w:rPr>
          <w:rFonts w:cs="Arial"/>
        </w:rPr>
        <w:t xml:space="preserve"> transfer facility, operating the rail transfer systems to transport the waste to the ERF and then operating the ERF facility and dealing with the residues from that facility.</w:t>
      </w:r>
    </w:p>
    <w:p w:rsidR="004F3EFC" w:rsidRPr="00BC0701" w:rsidRDefault="004F3EFC" w:rsidP="004F3EFC">
      <w:pPr>
        <w:rPr>
          <w:rFonts w:cs="Arial"/>
        </w:rPr>
      </w:pPr>
      <w:r w:rsidRPr="00BC0701">
        <w:rPr>
          <w:rFonts w:cs="Arial"/>
        </w:rPr>
        <w:t>The contract is for all residual municipal waste arisings collected by the councils in the Merseyside and Halton areas but excludes a small amount of ad hoc waste streams that require alternative treatment/disposal.</w:t>
      </w:r>
    </w:p>
    <w:p w:rsidR="004F3EFC" w:rsidRPr="00BC0701" w:rsidRDefault="004F3EFC" w:rsidP="008B5D7A">
      <w:pPr>
        <w:pStyle w:val="Heading2"/>
        <w:keepLines w:val="0"/>
        <w:numPr>
          <w:ilvl w:val="1"/>
          <w:numId w:val="6"/>
        </w:numPr>
        <w:spacing w:before="240" w:after="60" w:line="276" w:lineRule="auto"/>
      </w:pPr>
      <w:bookmarkStart w:id="25" w:name="_Toc345073630"/>
      <w:bookmarkStart w:id="26" w:name="_Toc345073975"/>
      <w:r w:rsidRPr="00BC0701">
        <w:t>Saving Opportunities</w:t>
      </w:r>
      <w:bookmarkEnd w:id="25"/>
      <w:bookmarkEnd w:id="26"/>
    </w:p>
    <w:p w:rsidR="004F3EFC" w:rsidRPr="00BC0701" w:rsidRDefault="004F3EFC" w:rsidP="004F3EFC">
      <w:pPr>
        <w:pStyle w:val="Heading3"/>
      </w:pPr>
      <w:bookmarkStart w:id="27" w:name="_Toc345073976"/>
      <w:r w:rsidRPr="00BC0701">
        <w:t>Change in law reserve</w:t>
      </w:r>
      <w:bookmarkEnd w:id="27"/>
    </w:p>
    <w:p w:rsidR="004F3EFC" w:rsidRPr="00BC0701" w:rsidRDefault="004F3EFC" w:rsidP="004F3EFC">
      <w:pPr>
        <w:rPr>
          <w:rFonts w:cs="Arial"/>
        </w:rPr>
      </w:pPr>
      <w:r w:rsidRPr="00BC0701">
        <w:rPr>
          <w:rFonts w:cs="Arial"/>
        </w:rPr>
        <w:t>The CiL account or reserve is a facility that is available for funding any capital requirements that arise from a general CiL.  This is an account that is largely required by the banks to provide the contractor with an immediate source of funds should a CiL arise that requires a capital investment.</w:t>
      </w:r>
    </w:p>
    <w:p w:rsidR="004F3EFC" w:rsidRPr="00BC0701" w:rsidRDefault="004F3EFC" w:rsidP="004F3EFC">
      <w:pPr>
        <w:rPr>
          <w:rFonts w:cs="Arial"/>
        </w:rPr>
      </w:pPr>
      <w:r w:rsidRPr="00BC0701">
        <w:rPr>
          <w:rFonts w:cs="Arial"/>
        </w:rPr>
        <w:t>There is a saving opportunity for the authority whereby it takes back the risk of any capital payment as a result of a CiL and recovers the funds in the CiL account and any future payments into that fund. This position has now become a market standard in more recent PFIs as the risk of any significant CiL and the requirement for a large capital payment is usually capped by the</w:t>
      </w:r>
      <w:r>
        <w:rPr>
          <w:rFonts w:cs="Arial"/>
        </w:rPr>
        <w:t xml:space="preserve"> contractor and therefore the main cost risk remains with the authority</w:t>
      </w:r>
      <w:r w:rsidRPr="00BC0701">
        <w:rPr>
          <w:rFonts w:cs="Arial"/>
        </w:rPr>
        <w:t>.  In the contract this facility is termed Headroom Funding with the concept of a low, medium or high value change</w:t>
      </w:r>
    </w:p>
    <w:p w:rsidR="004F3EFC" w:rsidRPr="00BC0701" w:rsidRDefault="004F3EFC" w:rsidP="004F3EFC">
      <w:pPr>
        <w:rPr>
          <w:rFonts w:cs="Arial"/>
        </w:rPr>
      </w:pPr>
      <w:r w:rsidRPr="00BC0701">
        <w:rPr>
          <w:rFonts w:cs="Arial"/>
        </w:rPr>
        <w:t>The Headroom Funding in the financial model is set at approximately £7.7m.  The contribution to the fund is approximately £120k per year.  Therefore it should be possible to make this saving if the authority is able and willing to take on the added risk.</w:t>
      </w:r>
    </w:p>
    <w:p w:rsidR="004F3EFC" w:rsidRPr="00BC0701" w:rsidRDefault="00FD42F2" w:rsidP="008B5D7A">
      <w:pPr>
        <w:pStyle w:val="Heading4"/>
        <w:keepLines w:val="0"/>
        <w:numPr>
          <w:ilvl w:val="3"/>
          <w:numId w:val="6"/>
        </w:numPr>
        <w:spacing w:after="60" w:line="276" w:lineRule="auto"/>
        <w:rPr>
          <w:rFonts w:cs="Arial"/>
        </w:rPr>
      </w:pPr>
      <w:r>
        <w:rPr>
          <w:rFonts w:cs="Arial"/>
        </w:rPr>
        <w:t xml:space="preserve">CiL </w:t>
      </w:r>
      <w:r w:rsidR="004F3EFC" w:rsidRPr="00BC0701">
        <w:rPr>
          <w:rFonts w:cs="Arial"/>
        </w:rPr>
        <w:t>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946"/>
        <w:gridCol w:w="2018"/>
        <w:gridCol w:w="1647"/>
        <w:gridCol w:w="1647"/>
      </w:tblGrid>
      <w:tr w:rsidR="004F3EFC" w:rsidRPr="00BC0701" w:rsidTr="004F3EFC">
        <w:tc>
          <w:tcPr>
            <w:tcW w:w="1984" w:type="dxa"/>
            <w:shd w:val="pct20" w:color="auto" w:fill="auto"/>
          </w:tcPr>
          <w:p w:rsidR="004F3EFC" w:rsidRPr="00BC0701" w:rsidRDefault="004F3EFC" w:rsidP="004F3EFC">
            <w:pPr>
              <w:jc w:val="both"/>
              <w:rPr>
                <w:rFonts w:eastAsia="MS Mincho" w:cs="Arial"/>
              </w:rPr>
            </w:pPr>
            <w:r w:rsidRPr="00BC0701">
              <w:rPr>
                <w:rFonts w:eastAsia="MS Mincho" w:cs="Arial"/>
              </w:rPr>
              <w:t>Saving opportunity descriptor</w:t>
            </w:r>
          </w:p>
        </w:tc>
        <w:tc>
          <w:tcPr>
            <w:tcW w:w="1946" w:type="dxa"/>
            <w:shd w:val="pct20" w:color="auto" w:fill="auto"/>
          </w:tcPr>
          <w:p w:rsidR="004F3EFC" w:rsidRPr="00BC0701" w:rsidRDefault="004F3EFC" w:rsidP="004F3EFC">
            <w:pPr>
              <w:jc w:val="both"/>
              <w:rPr>
                <w:rFonts w:eastAsia="MS Mincho" w:cs="Arial"/>
              </w:rPr>
            </w:pPr>
            <w:r w:rsidRPr="00BC0701">
              <w:rPr>
                <w:rFonts w:eastAsia="MS Mincho" w:cs="Arial"/>
              </w:rPr>
              <w:t>Periodicity</w:t>
            </w:r>
          </w:p>
        </w:tc>
        <w:tc>
          <w:tcPr>
            <w:tcW w:w="2018" w:type="dxa"/>
            <w:shd w:val="pct20" w:color="auto" w:fill="auto"/>
          </w:tcPr>
          <w:p w:rsidR="004F3EFC" w:rsidRPr="00BC0701" w:rsidRDefault="004F3EFC" w:rsidP="004F3EFC">
            <w:pPr>
              <w:jc w:val="both"/>
              <w:rPr>
                <w:rFonts w:eastAsia="MS Mincho" w:cs="Arial"/>
              </w:rPr>
            </w:pPr>
            <w:r w:rsidRPr="00BC0701">
              <w:rPr>
                <w:rFonts w:eastAsia="MS Mincho" w:cs="Arial"/>
              </w:rPr>
              <w:t>Invest to Save Requirement (2015/16 prices)</w:t>
            </w:r>
          </w:p>
        </w:tc>
        <w:tc>
          <w:tcPr>
            <w:tcW w:w="1647" w:type="dxa"/>
            <w:shd w:val="pct20" w:color="auto" w:fill="auto"/>
          </w:tcPr>
          <w:p w:rsidR="004F3EFC" w:rsidRPr="00BC0701" w:rsidRDefault="004F3EFC" w:rsidP="004F3EFC">
            <w:pPr>
              <w:jc w:val="both"/>
              <w:rPr>
                <w:rFonts w:eastAsia="MS Mincho" w:cs="Arial"/>
              </w:rPr>
            </w:pPr>
            <w:r w:rsidRPr="00BC0701">
              <w:rPr>
                <w:rFonts w:eastAsia="MS Mincho" w:cs="Arial"/>
              </w:rPr>
              <w:t>Opex Saving (2015/16 prices)</w:t>
            </w:r>
          </w:p>
        </w:tc>
        <w:tc>
          <w:tcPr>
            <w:tcW w:w="1647" w:type="dxa"/>
            <w:shd w:val="pct20" w:color="auto" w:fill="auto"/>
          </w:tcPr>
          <w:p w:rsidR="004F3EFC" w:rsidRPr="00BC0701" w:rsidRDefault="004F3EFC" w:rsidP="004F3EFC">
            <w:pPr>
              <w:jc w:val="both"/>
              <w:rPr>
                <w:rFonts w:eastAsia="MS Mincho" w:cs="Arial"/>
              </w:rPr>
            </w:pPr>
            <w:r w:rsidRPr="00BC0701">
              <w:rPr>
                <w:rFonts w:eastAsia="MS Mincho" w:cs="Arial"/>
              </w:rPr>
              <w:t>Capex Saving (2015/16 prices)</w:t>
            </w:r>
          </w:p>
        </w:tc>
      </w:tr>
      <w:tr w:rsidR="004F3EFC" w:rsidRPr="00BC0701" w:rsidTr="004F3EFC">
        <w:tc>
          <w:tcPr>
            <w:tcW w:w="1984" w:type="dxa"/>
            <w:shd w:val="clear" w:color="auto" w:fill="auto"/>
          </w:tcPr>
          <w:p w:rsidR="004F3EFC" w:rsidRPr="00BC0701" w:rsidRDefault="004F3EFC" w:rsidP="004F3EFC">
            <w:pPr>
              <w:jc w:val="both"/>
              <w:rPr>
                <w:rFonts w:eastAsia="MS Mincho" w:cs="Arial"/>
              </w:rPr>
            </w:pPr>
            <w:r w:rsidRPr="00BC0701">
              <w:rPr>
                <w:rFonts w:eastAsia="MS Mincho" w:cs="Arial"/>
              </w:rPr>
              <w:t>Removal of the Change in law reserve loan facility</w:t>
            </w:r>
          </w:p>
        </w:tc>
        <w:tc>
          <w:tcPr>
            <w:tcW w:w="1946" w:type="dxa"/>
            <w:shd w:val="clear" w:color="auto" w:fill="auto"/>
          </w:tcPr>
          <w:p w:rsidR="004F3EFC" w:rsidRPr="00BC0701" w:rsidRDefault="004F3EFC" w:rsidP="004F3EFC">
            <w:pPr>
              <w:jc w:val="both"/>
              <w:rPr>
                <w:rFonts w:eastAsia="MS Mincho" w:cs="Arial"/>
              </w:rPr>
            </w:pPr>
            <w:proofErr w:type="gramStart"/>
            <w:r w:rsidRPr="00BC0701">
              <w:rPr>
                <w:rFonts w:eastAsia="MS Mincho" w:cs="Arial"/>
              </w:rPr>
              <w:t>annual</w:t>
            </w:r>
            <w:proofErr w:type="gramEnd"/>
          </w:p>
        </w:tc>
        <w:tc>
          <w:tcPr>
            <w:tcW w:w="2018" w:type="dxa"/>
            <w:shd w:val="clear" w:color="auto" w:fill="auto"/>
          </w:tcPr>
          <w:p w:rsidR="004F3EFC" w:rsidRPr="00BC0701" w:rsidRDefault="004F3EFC" w:rsidP="004F3EFC">
            <w:pPr>
              <w:jc w:val="both"/>
              <w:rPr>
                <w:rFonts w:eastAsia="MS Mincho" w:cs="Arial"/>
              </w:rPr>
            </w:pPr>
          </w:p>
        </w:tc>
        <w:tc>
          <w:tcPr>
            <w:tcW w:w="1647" w:type="dxa"/>
            <w:shd w:val="clear" w:color="auto" w:fill="auto"/>
          </w:tcPr>
          <w:p w:rsidR="004F3EFC" w:rsidRPr="00BC0701" w:rsidRDefault="004F3EFC" w:rsidP="004F3EFC">
            <w:pPr>
              <w:jc w:val="both"/>
              <w:rPr>
                <w:rFonts w:eastAsia="MS Mincho" w:cs="Arial"/>
              </w:rPr>
            </w:pPr>
            <w:r w:rsidRPr="00BC0701">
              <w:rPr>
                <w:rFonts w:eastAsia="MS Mincho" w:cs="Arial"/>
              </w:rPr>
              <w:t>£120k</w:t>
            </w:r>
          </w:p>
        </w:tc>
        <w:tc>
          <w:tcPr>
            <w:tcW w:w="1647" w:type="dxa"/>
            <w:shd w:val="clear" w:color="auto" w:fill="auto"/>
          </w:tcPr>
          <w:p w:rsidR="004F3EFC" w:rsidRPr="00BC0701" w:rsidRDefault="004F3EFC" w:rsidP="004F3EFC">
            <w:pPr>
              <w:jc w:val="both"/>
              <w:rPr>
                <w:rFonts w:eastAsia="MS Mincho" w:cs="Arial"/>
              </w:rPr>
            </w:pPr>
          </w:p>
        </w:tc>
      </w:tr>
    </w:tbl>
    <w:p w:rsidR="004F3EFC" w:rsidRPr="00BC0701" w:rsidRDefault="004F3EFC" w:rsidP="004F3EFC">
      <w:pPr>
        <w:rPr>
          <w:rFonts w:cs="Arial"/>
        </w:rPr>
      </w:pPr>
    </w:p>
    <w:p w:rsidR="004F3EFC" w:rsidRPr="00BC0701" w:rsidRDefault="004F3EFC" w:rsidP="004F3EFC">
      <w:pPr>
        <w:rPr>
          <w:rFonts w:cs="Arial"/>
          <w:b/>
        </w:rPr>
      </w:pPr>
      <w:r w:rsidRPr="00BC0701">
        <w:rPr>
          <w:rFonts w:cs="Arial"/>
          <w:b/>
        </w:rPr>
        <w:t>Description</w:t>
      </w:r>
    </w:p>
    <w:p w:rsidR="004F3EFC" w:rsidRPr="00BC0701" w:rsidRDefault="004F3EFC" w:rsidP="004F3EFC">
      <w:pPr>
        <w:rPr>
          <w:rFonts w:cs="Arial"/>
        </w:rPr>
      </w:pPr>
      <w:r w:rsidRPr="00BC0701">
        <w:rPr>
          <w:rFonts w:cs="Arial"/>
        </w:rPr>
        <w:t>This would remove the requirement to hold a loan facility to cover CiL expenditure and thereby remove the annual contribution to this fund.</w:t>
      </w:r>
    </w:p>
    <w:p w:rsidR="004F3EFC" w:rsidRPr="00BC0701" w:rsidRDefault="004F3EFC" w:rsidP="004F3EFC">
      <w:pPr>
        <w:rPr>
          <w:rFonts w:cs="Arial"/>
          <w:b/>
        </w:rPr>
      </w:pPr>
      <w:r w:rsidRPr="00BC0701">
        <w:rPr>
          <w:rFonts w:cs="Arial"/>
          <w:b/>
        </w:rPr>
        <w:t>Status</w:t>
      </w:r>
    </w:p>
    <w:p w:rsidR="004F3EFC" w:rsidRPr="00BC0701" w:rsidRDefault="004F3EFC" w:rsidP="004F3EFC">
      <w:pPr>
        <w:rPr>
          <w:rFonts w:cs="Arial"/>
        </w:rPr>
      </w:pPr>
      <w:r w:rsidRPr="00BC0701">
        <w:rPr>
          <w:rFonts w:cs="Arial"/>
        </w:rPr>
        <w:t xml:space="preserve">Investigate Further: </w:t>
      </w:r>
      <w:proofErr w:type="gramStart"/>
      <w:r w:rsidRPr="00BC0701">
        <w:rPr>
          <w:rFonts w:cs="Arial"/>
        </w:rPr>
        <w:t>The commitment fees for the loan facility of £7.7m is</w:t>
      </w:r>
      <w:proofErr w:type="gramEnd"/>
      <w:r w:rsidRPr="00BC0701">
        <w:rPr>
          <w:rFonts w:cs="Arial"/>
        </w:rPr>
        <w:t xml:space="preserve"> approximately £120k pa and thus this is the available saving opportunity</w:t>
      </w:r>
      <w:r>
        <w:rPr>
          <w:rFonts w:cs="Arial"/>
        </w:rPr>
        <w:t>.</w:t>
      </w:r>
    </w:p>
    <w:p w:rsidR="004F3EFC" w:rsidRPr="00BC0701" w:rsidRDefault="004F3EFC" w:rsidP="004F3EFC">
      <w:pPr>
        <w:rPr>
          <w:rFonts w:cs="Arial"/>
          <w:b/>
        </w:rPr>
      </w:pPr>
      <w:r w:rsidRPr="00BC0701">
        <w:rPr>
          <w:rFonts w:cs="Arial"/>
          <w:b/>
        </w:rPr>
        <w:t>Assumptions</w:t>
      </w:r>
    </w:p>
    <w:p w:rsidR="004F3EFC" w:rsidRPr="00BC0701" w:rsidRDefault="004F3EFC" w:rsidP="004F3EFC">
      <w:pPr>
        <w:rPr>
          <w:rFonts w:cs="Arial"/>
        </w:rPr>
      </w:pPr>
      <w:r w:rsidRPr="00BC0701">
        <w:rPr>
          <w:rFonts w:cs="Arial"/>
        </w:rPr>
        <w:t xml:space="preserve">This assumes that the Authority take on the responsibility of paying for the change in law expenditure in the event of a change that has capital expenditure requirement. </w:t>
      </w:r>
    </w:p>
    <w:p w:rsidR="004F3EFC" w:rsidRPr="00BC0701" w:rsidRDefault="004F3EFC" w:rsidP="004F3EFC">
      <w:pPr>
        <w:rPr>
          <w:rFonts w:cs="Arial"/>
          <w:b/>
        </w:rPr>
      </w:pPr>
      <w:r w:rsidRPr="00BC0701">
        <w:rPr>
          <w:rFonts w:cs="Arial"/>
          <w:b/>
        </w:rPr>
        <w:t>Key Considerations</w:t>
      </w:r>
    </w:p>
    <w:p w:rsidR="004F3EFC" w:rsidRPr="00BC0701" w:rsidRDefault="004F3EFC" w:rsidP="004F3EFC">
      <w:pPr>
        <w:rPr>
          <w:rFonts w:cs="Arial"/>
        </w:rPr>
      </w:pPr>
      <w:r w:rsidRPr="00BC0701">
        <w:rPr>
          <w:rFonts w:cs="Arial"/>
        </w:rPr>
        <w:t>Obviously this is an extension of the authority’s risk exposure and given the potential for legislative or regulatory change has substantially increased as a result of the proposed UK exit from the EU.</w:t>
      </w:r>
    </w:p>
    <w:p w:rsidR="004F3EFC" w:rsidRPr="00BC0701" w:rsidRDefault="004F3EFC" w:rsidP="004F3EFC">
      <w:pPr>
        <w:pStyle w:val="Heading3"/>
      </w:pPr>
      <w:bookmarkStart w:id="28" w:name="_Toc345073977"/>
      <w:r w:rsidRPr="00BC0701">
        <w:lastRenderedPageBreak/>
        <w:t>Lifecycle profile</w:t>
      </w:r>
      <w:bookmarkEnd w:id="28"/>
    </w:p>
    <w:p w:rsidR="004F3EFC" w:rsidRPr="00BC0701" w:rsidRDefault="004F3EFC" w:rsidP="004F3EFC">
      <w:pPr>
        <w:rPr>
          <w:rFonts w:cs="Arial"/>
        </w:rPr>
      </w:pPr>
      <w:r w:rsidRPr="00BC0701">
        <w:rPr>
          <w:rFonts w:cs="Arial"/>
        </w:rPr>
        <w:t xml:space="preserve">As discussed for the recycling contract the profile of lifecycle expenditure can have a cost impact and having large peaks and troughs can increase the key ratios.  </w:t>
      </w:r>
    </w:p>
    <w:p w:rsidR="004F3EFC" w:rsidRPr="00BC0701" w:rsidRDefault="004F3EFC" w:rsidP="004F3EFC">
      <w:pPr>
        <w:rPr>
          <w:rFonts w:cs="Arial"/>
        </w:rPr>
      </w:pPr>
      <w:r w:rsidRPr="00BC0701">
        <w:rPr>
          <w:rFonts w:cs="Arial"/>
        </w:rPr>
        <w:t xml:space="preserve">It can be seen below in Figure 4 that the profile has been optimised, with peaks in expenditure only occurring in 2027 and in the final half year of the contract.  These peaks are explainable; the mid cycle peak is likely to be linked with an upgrade of they control system and the final expenditure is linked to bringing forward expenditure prior to the final 6 months in preparation for the hand back of the facility.  There will be choices to be made towards the end of the contract as to the desirability of taking over and continuing to operate the facility.  If it is decided that the facility is no longer needed at that stage, reducing the lifecycle expenditure during the final 5 years of the contract could make savings.  However, at this stage, it would be inadvisable to take this </w:t>
      </w:r>
      <w:r>
        <w:rPr>
          <w:rFonts w:cs="Arial"/>
        </w:rPr>
        <w:t>action but this might be reassessed later in the contract</w:t>
      </w:r>
      <w:r w:rsidRPr="00BC0701">
        <w:rPr>
          <w:rFonts w:cs="Arial"/>
        </w:rPr>
        <w:t>.</w:t>
      </w:r>
    </w:p>
    <w:p w:rsidR="004F3EFC" w:rsidRPr="00BC0701" w:rsidRDefault="004F3EFC" w:rsidP="004F3EFC">
      <w:pPr>
        <w:rPr>
          <w:rFonts w:cs="Arial"/>
        </w:rPr>
      </w:pPr>
      <w:r w:rsidRPr="00BC0701">
        <w:rPr>
          <w:rFonts w:cs="Arial"/>
          <w:noProof/>
          <w:lang w:val="en-US" w:eastAsia="en-US"/>
        </w:rPr>
        <mc:AlternateContent>
          <mc:Choice Requires="wps">
            <w:drawing>
              <wp:anchor distT="0" distB="0" distL="114300" distR="114300" simplePos="0" relativeHeight="251665408" behindDoc="0" locked="0" layoutInCell="1" allowOverlap="1" wp14:anchorId="0B24D133" wp14:editId="1E7A453B">
                <wp:simplePos x="0" y="0"/>
                <wp:positionH relativeFrom="column">
                  <wp:posOffset>0</wp:posOffset>
                </wp:positionH>
                <wp:positionV relativeFrom="paragraph">
                  <wp:posOffset>2547620</wp:posOffset>
                </wp:positionV>
                <wp:extent cx="5262880" cy="305435"/>
                <wp:effectExtent l="0" t="381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2880" cy="305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0D76" w:rsidRPr="009362F2" w:rsidRDefault="00D20D76" w:rsidP="004F3EFC">
                            <w:pPr>
                              <w:pStyle w:val="Caption"/>
                            </w:pPr>
                            <w:r>
                              <w:t xml:space="preserve">Figure </w:t>
                            </w:r>
                            <w:fldSimple w:instr=" SEQ Figure \* ARABIC ">
                              <w:r>
                                <w:rPr>
                                  <w:noProof/>
                                </w:rPr>
                                <w:t>4</w:t>
                              </w:r>
                            </w:fldSimple>
                            <w:r>
                              <w:t xml:space="preserve"> Lifecycle </w:t>
                            </w:r>
                            <w:proofErr w:type="spellStart"/>
                            <w:r>
                              <w:t>CapEx</w:t>
                            </w:r>
                            <w:proofErr w:type="spellEnd"/>
                            <w:r>
                              <w:t xml:space="preserve"> profile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0;margin-top:200.6pt;width:414.4pt;height:2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" stroked="f">
                <v:textbox style="mso-fit-shape-to-text:t" inset="0,0,0,0">
                  <w:txbxContent>
                    <w:p w:rsidR="00D20D76" w:rsidRPr="009362F2" w:rsidRDefault="00D20D76" w:rsidP="004F3EFC">
                      <w:pPr>
                        <w:pStyle w:val="Caption"/>
                      </w:pPr>
                      <w:r>
                        <w:t xml:space="preserve">Figure </w:t>
                      </w:r>
                      <w:fldSimple w:instr=" SEQ Figure \* ARABIC ">
                        <w:r>
                          <w:rPr>
                            <w:noProof/>
                          </w:rPr>
                          <w:t>4</w:t>
                        </w:r>
                      </w:fldSimple>
                      <w:r>
                        <w:t xml:space="preserve"> Lifecycle </w:t>
                      </w:r>
                      <w:proofErr w:type="spellStart"/>
                      <w:r>
                        <w:t>CapEx</w:t>
                      </w:r>
                      <w:proofErr w:type="spellEnd"/>
                      <w:r>
                        <w:t xml:space="preserve"> profile</w:t>
                      </w:r>
                    </w:p>
                  </w:txbxContent>
                </v:textbox>
              </v:shape>
            </w:pict>
          </mc:Fallback>
        </mc:AlternateContent>
      </w:r>
      <w:r w:rsidRPr="00BC0701">
        <w:rPr>
          <w:rFonts w:cs="Arial"/>
          <w:noProof/>
          <w:lang w:val="en-US" w:eastAsia="en-US"/>
        </w:rPr>
        <w:drawing>
          <wp:anchor distT="0" distB="0" distL="114300" distR="114300" simplePos="0" relativeHeight="251664384" behindDoc="0" locked="0" layoutInCell="1" allowOverlap="1" wp14:anchorId="53BEA8A5" wp14:editId="5458B554">
            <wp:simplePos x="0" y="0"/>
            <wp:positionH relativeFrom="character">
              <wp:posOffset>0</wp:posOffset>
            </wp:positionH>
            <wp:positionV relativeFrom="line">
              <wp:posOffset>0</wp:posOffset>
            </wp:positionV>
            <wp:extent cx="5262880" cy="2490470"/>
            <wp:effectExtent l="0" t="0" r="0"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62880" cy="2490470"/>
                    </a:xfrm>
                    <a:prstGeom prst="rect">
                      <a:avLst/>
                    </a:prstGeom>
                    <a:noFill/>
                  </pic:spPr>
                </pic:pic>
              </a:graphicData>
            </a:graphic>
            <wp14:sizeRelH relativeFrom="page">
              <wp14:pctWidth>0</wp14:pctWidth>
            </wp14:sizeRelH>
            <wp14:sizeRelV relativeFrom="page">
              <wp14:pctHeight>0</wp14:pctHeight>
            </wp14:sizeRelV>
          </wp:anchor>
        </w:drawing>
      </w:r>
      <w:r w:rsidRPr="00BC0701">
        <w:rPr>
          <w:rFonts w:cs="Arial"/>
          <w:noProof/>
          <w:lang w:val="en-US" w:eastAsia="en-US"/>
        </w:rPr>
        <mc:AlternateContent>
          <mc:Choice Requires="wps">
            <w:drawing>
              <wp:inline distT="0" distB="0" distL="0" distR="0" wp14:anchorId="6A314D3A" wp14:editId="006C91A0">
                <wp:extent cx="5264785" cy="2493010"/>
                <wp:effectExtent l="0" t="0" r="0" b="0"/>
                <wp:docPr id="3"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64785" cy="2493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414.55pt;height:196.3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" filled="f" stroked="f">
                <o:lock v:ext="edit" aspectratio="t"/>
                <w10:anchorlock/>
              </v:rect>
            </w:pict>
          </mc:Fallback>
        </mc:AlternateContent>
      </w:r>
    </w:p>
    <w:p w:rsidR="004F3EFC" w:rsidRPr="00BC0701" w:rsidRDefault="004F3EFC" w:rsidP="004F3EFC">
      <w:pPr>
        <w:rPr>
          <w:rFonts w:cs="Arial"/>
        </w:rPr>
      </w:pPr>
    </w:p>
    <w:p w:rsidR="004F3EFC" w:rsidRDefault="004F3EFC" w:rsidP="004F3EFC">
      <w:pPr>
        <w:pStyle w:val="Heading3"/>
      </w:pPr>
      <w:bookmarkStart w:id="29" w:name="_Toc345073978"/>
      <w:r w:rsidRPr="00BC0701">
        <w:t>Refinancing/capital injection</w:t>
      </w:r>
      <w:bookmarkEnd w:id="29"/>
    </w:p>
    <w:p w:rsidR="004F3EFC" w:rsidRPr="00BC0701" w:rsidRDefault="004F3EFC" w:rsidP="008B5D7A">
      <w:pPr>
        <w:pStyle w:val="Heading4"/>
        <w:keepLines w:val="0"/>
        <w:numPr>
          <w:ilvl w:val="3"/>
          <w:numId w:val="6"/>
        </w:numPr>
        <w:spacing w:after="60" w:line="276" w:lineRule="auto"/>
      </w:pPr>
      <w:r w:rsidRPr="00BC0701">
        <w:t>Capital injection</w:t>
      </w:r>
    </w:p>
    <w:p w:rsidR="004F3EFC" w:rsidRPr="00BC0701" w:rsidRDefault="004F3EFC" w:rsidP="004F3EFC">
      <w:pPr>
        <w:rPr>
          <w:rFonts w:cs="Arial"/>
        </w:rPr>
      </w:pPr>
      <w:r w:rsidRPr="00BC0701">
        <w:rPr>
          <w:rFonts w:cs="Arial"/>
        </w:rPr>
        <w:t>The injection of capital in a project is an option that can be adopted to reduce the cost of finance.</w:t>
      </w:r>
      <w:r>
        <w:rPr>
          <w:rFonts w:cs="Arial"/>
        </w:rPr>
        <w:t xml:space="preserve"> In effect the a</w:t>
      </w:r>
      <w:r w:rsidRPr="00BC0701">
        <w:rPr>
          <w:rFonts w:cs="Arial"/>
        </w:rPr>
        <w:t>uthority replaces private debt in the project with public debt, which attracts a much lower interest rate and thereby reduces the Unitary Charge.</w:t>
      </w:r>
    </w:p>
    <w:p w:rsidR="004F3EFC" w:rsidRPr="00BC0701" w:rsidRDefault="004F3EFC" w:rsidP="004F3EFC">
      <w:pPr>
        <w:rPr>
          <w:rFonts w:cs="Arial"/>
        </w:rPr>
      </w:pPr>
      <w:r w:rsidRPr="00BC0701">
        <w:rPr>
          <w:rFonts w:cs="Arial"/>
        </w:rPr>
        <w:t>Assuming a 30%</w:t>
      </w:r>
      <w:r>
        <w:rPr>
          <w:rStyle w:val="FootnoteReference"/>
          <w:rFonts w:cs="Arial"/>
        </w:rPr>
        <w:footnoteReference w:id="5"/>
      </w:r>
      <w:r w:rsidRPr="00BC0701">
        <w:rPr>
          <w:rFonts w:cs="Arial"/>
        </w:rPr>
        <w:t xml:space="preserve"> contribution to the base case capital cost (£122m) would be applied to take £97m off the debt and pay off the £25m swap breakage costs.  This would lead to a reduction in the annual borrowing costs of £9.1m pa.  However, the authority would have to borrow this money from the PWLB and this is estimated at £6m pa thus leaving a potential benefit of approximately £3m pa.</w:t>
      </w:r>
    </w:p>
    <w:p w:rsidR="004F3EFC" w:rsidRPr="00BC0701" w:rsidRDefault="004F3EFC" w:rsidP="004F3EFC">
      <w:pPr>
        <w:rPr>
          <w:rFonts w:cs="Arial"/>
        </w:rPr>
      </w:pPr>
      <w:r w:rsidRPr="00BC0701">
        <w:rPr>
          <w:rFonts w:cs="Arial"/>
        </w:rPr>
        <w:t>The funders do not have to agree to this and are very likely to object unless there is an upside for them and thus this saving would have to be shared with the relevant parties.  This would be a negotiated settlement but at first principles a 50:50 share seems plausible outcome.  Therefore the saving to the authority is likely to be approximately £1.5m pa whilst taking on a debt of £122m and the associated risks in the operation of the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946"/>
        <w:gridCol w:w="2018"/>
        <w:gridCol w:w="1647"/>
        <w:gridCol w:w="1647"/>
      </w:tblGrid>
      <w:tr w:rsidR="004F3EFC" w:rsidRPr="00BC0701" w:rsidTr="004F3EFC">
        <w:tc>
          <w:tcPr>
            <w:tcW w:w="1984" w:type="dxa"/>
            <w:shd w:val="pct20" w:color="auto" w:fill="auto"/>
          </w:tcPr>
          <w:p w:rsidR="004F3EFC" w:rsidRPr="00BC0701" w:rsidRDefault="004F3EFC" w:rsidP="004F3EFC">
            <w:pPr>
              <w:jc w:val="both"/>
              <w:rPr>
                <w:rFonts w:eastAsia="MS Mincho" w:cs="Arial"/>
              </w:rPr>
            </w:pPr>
            <w:r w:rsidRPr="00BC0701">
              <w:rPr>
                <w:rFonts w:eastAsia="MS Mincho" w:cs="Arial"/>
              </w:rPr>
              <w:t>Saving opportunity descriptor</w:t>
            </w:r>
          </w:p>
        </w:tc>
        <w:tc>
          <w:tcPr>
            <w:tcW w:w="1946" w:type="dxa"/>
            <w:shd w:val="pct20" w:color="auto" w:fill="auto"/>
          </w:tcPr>
          <w:p w:rsidR="004F3EFC" w:rsidRPr="00BC0701" w:rsidRDefault="004F3EFC" w:rsidP="004F3EFC">
            <w:pPr>
              <w:jc w:val="both"/>
              <w:rPr>
                <w:rFonts w:eastAsia="MS Mincho" w:cs="Arial"/>
              </w:rPr>
            </w:pPr>
            <w:r w:rsidRPr="00BC0701">
              <w:rPr>
                <w:rFonts w:eastAsia="MS Mincho" w:cs="Arial"/>
              </w:rPr>
              <w:t>Periodicity</w:t>
            </w:r>
          </w:p>
        </w:tc>
        <w:tc>
          <w:tcPr>
            <w:tcW w:w="2018" w:type="dxa"/>
            <w:shd w:val="pct20" w:color="auto" w:fill="auto"/>
          </w:tcPr>
          <w:p w:rsidR="004F3EFC" w:rsidRPr="00BC0701" w:rsidRDefault="004F3EFC" w:rsidP="004F3EFC">
            <w:pPr>
              <w:jc w:val="both"/>
              <w:rPr>
                <w:rFonts w:eastAsia="MS Mincho" w:cs="Arial"/>
              </w:rPr>
            </w:pPr>
            <w:r w:rsidRPr="00BC0701">
              <w:rPr>
                <w:rFonts w:eastAsia="MS Mincho" w:cs="Arial"/>
              </w:rPr>
              <w:t>Invest to Save Requirement (2015/16 prices)</w:t>
            </w:r>
          </w:p>
        </w:tc>
        <w:tc>
          <w:tcPr>
            <w:tcW w:w="1647" w:type="dxa"/>
            <w:shd w:val="pct20" w:color="auto" w:fill="auto"/>
          </w:tcPr>
          <w:p w:rsidR="004F3EFC" w:rsidRPr="00BC0701" w:rsidRDefault="004F3EFC" w:rsidP="004F3EFC">
            <w:pPr>
              <w:jc w:val="both"/>
              <w:rPr>
                <w:rFonts w:eastAsia="MS Mincho" w:cs="Arial"/>
              </w:rPr>
            </w:pPr>
            <w:r w:rsidRPr="00BC0701">
              <w:rPr>
                <w:rFonts w:eastAsia="MS Mincho" w:cs="Arial"/>
              </w:rPr>
              <w:t>Opex Saving (2015/16 prices)</w:t>
            </w:r>
          </w:p>
        </w:tc>
        <w:tc>
          <w:tcPr>
            <w:tcW w:w="1647" w:type="dxa"/>
            <w:shd w:val="pct20" w:color="auto" w:fill="auto"/>
          </w:tcPr>
          <w:p w:rsidR="004F3EFC" w:rsidRPr="00BC0701" w:rsidRDefault="004F3EFC" w:rsidP="004F3EFC">
            <w:pPr>
              <w:jc w:val="both"/>
              <w:rPr>
                <w:rFonts w:eastAsia="MS Mincho" w:cs="Arial"/>
              </w:rPr>
            </w:pPr>
            <w:r w:rsidRPr="00BC0701">
              <w:rPr>
                <w:rFonts w:eastAsia="MS Mincho" w:cs="Arial"/>
              </w:rPr>
              <w:t>Capex Saving (2015/16 prices)</w:t>
            </w:r>
          </w:p>
        </w:tc>
      </w:tr>
      <w:tr w:rsidR="004F3EFC" w:rsidRPr="00BC0701" w:rsidTr="004F3EFC">
        <w:tc>
          <w:tcPr>
            <w:tcW w:w="1984" w:type="dxa"/>
            <w:shd w:val="clear" w:color="auto" w:fill="auto"/>
          </w:tcPr>
          <w:p w:rsidR="004F3EFC" w:rsidRPr="00BC0701" w:rsidRDefault="004F3EFC" w:rsidP="004F3EFC">
            <w:pPr>
              <w:jc w:val="both"/>
              <w:rPr>
                <w:rFonts w:eastAsia="MS Mincho" w:cs="Arial"/>
              </w:rPr>
            </w:pPr>
            <w:r w:rsidRPr="00BC0701">
              <w:rPr>
                <w:rFonts w:eastAsia="MS Mincho" w:cs="Arial"/>
              </w:rPr>
              <w:t>Capital injection</w:t>
            </w:r>
          </w:p>
        </w:tc>
        <w:tc>
          <w:tcPr>
            <w:tcW w:w="1946" w:type="dxa"/>
            <w:shd w:val="clear" w:color="auto" w:fill="auto"/>
          </w:tcPr>
          <w:p w:rsidR="004F3EFC" w:rsidRPr="00BC0701" w:rsidRDefault="004F3EFC" w:rsidP="004F3EFC">
            <w:pPr>
              <w:jc w:val="both"/>
              <w:rPr>
                <w:rFonts w:eastAsia="MS Mincho" w:cs="Arial"/>
              </w:rPr>
            </w:pPr>
            <w:proofErr w:type="gramStart"/>
            <w:r w:rsidRPr="00BC0701">
              <w:rPr>
                <w:rFonts w:eastAsia="MS Mincho" w:cs="Arial"/>
              </w:rPr>
              <w:t>annual</w:t>
            </w:r>
            <w:proofErr w:type="gramEnd"/>
          </w:p>
        </w:tc>
        <w:tc>
          <w:tcPr>
            <w:tcW w:w="2018" w:type="dxa"/>
            <w:shd w:val="clear" w:color="auto" w:fill="auto"/>
          </w:tcPr>
          <w:p w:rsidR="004F3EFC" w:rsidRPr="00BC0701" w:rsidRDefault="004F3EFC" w:rsidP="004F3EFC">
            <w:pPr>
              <w:jc w:val="both"/>
              <w:rPr>
                <w:rFonts w:eastAsia="MS Mincho" w:cs="Arial"/>
              </w:rPr>
            </w:pPr>
            <w:r w:rsidRPr="00BC0701">
              <w:rPr>
                <w:rFonts w:eastAsia="MS Mincho" w:cs="Arial"/>
              </w:rPr>
              <w:t>£122m</w:t>
            </w:r>
          </w:p>
        </w:tc>
        <w:tc>
          <w:tcPr>
            <w:tcW w:w="1647" w:type="dxa"/>
            <w:shd w:val="clear" w:color="auto" w:fill="auto"/>
          </w:tcPr>
          <w:p w:rsidR="004F3EFC" w:rsidRPr="00BC0701" w:rsidRDefault="004F3EFC" w:rsidP="004F3EFC">
            <w:pPr>
              <w:jc w:val="both"/>
              <w:rPr>
                <w:rFonts w:eastAsia="MS Mincho" w:cs="Arial"/>
              </w:rPr>
            </w:pPr>
            <w:r w:rsidRPr="00BC0701">
              <w:rPr>
                <w:rFonts w:eastAsia="MS Mincho" w:cs="Arial"/>
              </w:rPr>
              <w:t>£1.5m</w:t>
            </w:r>
          </w:p>
        </w:tc>
        <w:tc>
          <w:tcPr>
            <w:tcW w:w="1647" w:type="dxa"/>
            <w:shd w:val="clear" w:color="auto" w:fill="auto"/>
          </w:tcPr>
          <w:p w:rsidR="004F3EFC" w:rsidRPr="00BC0701" w:rsidRDefault="004F3EFC" w:rsidP="004F3EFC">
            <w:pPr>
              <w:jc w:val="both"/>
              <w:rPr>
                <w:rFonts w:eastAsia="MS Mincho" w:cs="Arial"/>
              </w:rPr>
            </w:pPr>
          </w:p>
        </w:tc>
      </w:tr>
    </w:tbl>
    <w:p w:rsidR="004F3EFC" w:rsidRPr="00BC0701" w:rsidRDefault="004F3EFC" w:rsidP="004F3EFC">
      <w:pPr>
        <w:spacing w:before="120"/>
        <w:rPr>
          <w:rFonts w:cs="Arial"/>
          <w:b/>
        </w:rPr>
      </w:pPr>
      <w:r w:rsidRPr="00BC0701">
        <w:rPr>
          <w:rFonts w:cs="Arial"/>
          <w:b/>
          <w:noProof/>
          <w:lang w:val="en-US" w:eastAsia="en-US"/>
        </w:rPr>
        <w:lastRenderedPageBreak/>
        <w:drawing>
          <wp:anchor distT="0" distB="0" distL="114300" distR="114300" simplePos="0" relativeHeight="251673600" behindDoc="1" locked="0" layoutInCell="1" allowOverlap="1" wp14:anchorId="601B5BA6" wp14:editId="1497D5D0">
            <wp:simplePos x="0" y="0"/>
            <wp:positionH relativeFrom="column">
              <wp:posOffset>5037455</wp:posOffset>
            </wp:positionH>
            <wp:positionV relativeFrom="paragraph">
              <wp:posOffset>131445</wp:posOffset>
            </wp:positionV>
            <wp:extent cx="770255" cy="1261745"/>
            <wp:effectExtent l="0" t="0" r="0" b="8255"/>
            <wp:wrapTight wrapText="bothSides">
              <wp:wrapPolygon edited="0">
                <wp:start x="712" y="0"/>
                <wp:lineTo x="0" y="3913"/>
                <wp:lineTo x="0" y="21306"/>
                <wp:lineTo x="20656" y="21306"/>
                <wp:lineTo x="20656" y="3913"/>
                <wp:lineTo x="19232" y="0"/>
                <wp:lineTo x="712" y="0"/>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70255" cy="1261745"/>
                    </a:xfrm>
                    <a:prstGeom prst="rect">
                      <a:avLst/>
                    </a:prstGeom>
                    <a:noFill/>
                  </pic:spPr>
                </pic:pic>
              </a:graphicData>
            </a:graphic>
            <wp14:sizeRelH relativeFrom="page">
              <wp14:pctWidth>0</wp14:pctWidth>
            </wp14:sizeRelH>
            <wp14:sizeRelV relativeFrom="page">
              <wp14:pctHeight>0</wp14:pctHeight>
            </wp14:sizeRelV>
          </wp:anchor>
        </w:drawing>
      </w:r>
      <w:r w:rsidRPr="00BC0701">
        <w:rPr>
          <w:rFonts w:cs="Arial"/>
          <w:b/>
        </w:rPr>
        <w:t>Description</w:t>
      </w:r>
    </w:p>
    <w:p w:rsidR="004F3EFC" w:rsidRPr="00BC0701" w:rsidRDefault="004F3EFC" w:rsidP="004F3EFC">
      <w:pPr>
        <w:rPr>
          <w:rFonts w:cs="Arial"/>
        </w:rPr>
      </w:pPr>
      <w:proofErr w:type="gramStart"/>
      <w:r w:rsidRPr="00BC0701">
        <w:rPr>
          <w:rFonts w:cs="Arial"/>
        </w:rPr>
        <w:t>Provision of capital funding of the project from public lending facilities (PWLB) to reduce the expenditure on interest.</w:t>
      </w:r>
      <w:proofErr w:type="gramEnd"/>
      <w:r w:rsidRPr="00BC0701">
        <w:rPr>
          <w:rFonts w:cs="Arial"/>
        </w:rPr>
        <w:t xml:space="preserve"> Provision of 30% funding provides a balance of the reduced costs benefits but also taking on a smaller portion of the risk.</w:t>
      </w:r>
    </w:p>
    <w:p w:rsidR="004F3EFC" w:rsidRPr="00BC0701" w:rsidRDefault="004F3EFC" w:rsidP="004F3EFC">
      <w:pPr>
        <w:rPr>
          <w:rFonts w:cs="Arial"/>
          <w:b/>
        </w:rPr>
      </w:pPr>
      <w:r w:rsidRPr="00BC0701">
        <w:rPr>
          <w:rFonts w:cs="Arial"/>
          <w:b/>
        </w:rPr>
        <w:t>Status</w:t>
      </w:r>
    </w:p>
    <w:p w:rsidR="004F3EFC" w:rsidRPr="00BC0701" w:rsidRDefault="004F3EFC" w:rsidP="004F3EFC">
      <w:pPr>
        <w:rPr>
          <w:rFonts w:cs="Arial"/>
        </w:rPr>
      </w:pPr>
      <w:r w:rsidRPr="00BC0701">
        <w:rPr>
          <w:rFonts w:cs="Arial"/>
        </w:rPr>
        <w:t xml:space="preserve">Investigate further: The provision of a capital contribution of 30% should provide a saving of £3m, which </w:t>
      </w:r>
      <w:r>
        <w:rPr>
          <w:rFonts w:cs="Arial"/>
        </w:rPr>
        <w:t>potentially would be</w:t>
      </w:r>
      <w:r w:rsidRPr="00BC0701">
        <w:rPr>
          <w:rFonts w:cs="Arial"/>
        </w:rPr>
        <w:t xml:space="preserve"> shared with the contractor and its funders and so a conservative assumption of £1</w:t>
      </w:r>
      <w:r>
        <w:rPr>
          <w:rFonts w:cs="Arial"/>
        </w:rPr>
        <w:t>.</w:t>
      </w:r>
      <w:r w:rsidRPr="00BC0701">
        <w:rPr>
          <w:rFonts w:cs="Arial"/>
        </w:rPr>
        <w:t>5m saving is possible.</w:t>
      </w:r>
    </w:p>
    <w:p w:rsidR="004F3EFC" w:rsidRPr="00BC0701" w:rsidRDefault="004F3EFC" w:rsidP="004F3EFC">
      <w:pPr>
        <w:rPr>
          <w:rFonts w:cs="Arial"/>
          <w:b/>
        </w:rPr>
      </w:pPr>
      <w:r w:rsidRPr="00BC0701">
        <w:rPr>
          <w:rFonts w:cs="Arial"/>
          <w:b/>
        </w:rPr>
        <w:t>Assumptions</w:t>
      </w:r>
    </w:p>
    <w:p w:rsidR="004F3EFC" w:rsidRPr="00BC0701" w:rsidRDefault="004F3EFC" w:rsidP="004F3EFC">
      <w:pPr>
        <w:rPr>
          <w:rFonts w:cs="Arial"/>
        </w:rPr>
      </w:pPr>
      <w:proofErr w:type="gramStart"/>
      <w:r w:rsidRPr="00BC0701">
        <w:rPr>
          <w:rFonts w:cs="Arial"/>
        </w:rPr>
        <w:t>The assumption that the Swap breakage cost and interest rates from the PWLB remain similar to the current levels.</w:t>
      </w:r>
      <w:proofErr w:type="gramEnd"/>
      <w:r w:rsidRPr="00BC0701">
        <w:rPr>
          <w:rFonts w:cs="Arial"/>
        </w:rPr>
        <w:t xml:space="preserve">  </w:t>
      </w:r>
    </w:p>
    <w:p w:rsidR="004F3EFC" w:rsidRPr="00BC0701" w:rsidRDefault="004F3EFC" w:rsidP="004F3EFC">
      <w:pPr>
        <w:rPr>
          <w:rFonts w:cs="Arial"/>
          <w:b/>
        </w:rPr>
      </w:pPr>
      <w:r w:rsidRPr="00BC0701">
        <w:rPr>
          <w:rFonts w:cs="Arial"/>
          <w:b/>
        </w:rPr>
        <w:t>Key Considerations</w:t>
      </w:r>
    </w:p>
    <w:p w:rsidR="004F3EFC" w:rsidRPr="00BC0701" w:rsidRDefault="004F3EFC" w:rsidP="004F3EFC">
      <w:pPr>
        <w:rPr>
          <w:rFonts w:cs="Arial"/>
        </w:rPr>
      </w:pPr>
      <w:r w:rsidRPr="00BC0701">
        <w:rPr>
          <w:rFonts w:cs="Arial"/>
        </w:rPr>
        <w:t xml:space="preserve">The authority would be taking on </w:t>
      </w:r>
      <w:r>
        <w:rPr>
          <w:rFonts w:cs="Arial"/>
        </w:rPr>
        <w:t>additional</w:t>
      </w:r>
      <w:r w:rsidRPr="00BC0701">
        <w:rPr>
          <w:rFonts w:cs="Arial"/>
        </w:rPr>
        <w:t xml:space="preserve"> risk in the project and will adding to its capital borrowing requirements that may limit other activities that they may require capital expenditure.</w:t>
      </w:r>
    </w:p>
    <w:p w:rsidR="004F3EFC" w:rsidRPr="00BC0701" w:rsidRDefault="004F3EFC" w:rsidP="004F3EFC">
      <w:pPr>
        <w:pStyle w:val="Heading3"/>
      </w:pPr>
      <w:bookmarkStart w:id="30" w:name="_Toc345073979"/>
      <w:r w:rsidRPr="00BC0701">
        <w:t>Increasing contract waste</w:t>
      </w:r>
      <w:bookmarkEnd w:id="30"/>
    </w:p>
    <w:p w:rsidR="004F3EFC" w:rsidRPr="00BC0701" w:rsidRDefault="004F3EFC" w:rsidP="004F3EFC">
      <w:pPr>
        <w:rPr>
          <w:rFonts w:cs="Arial"/>
        </w:rPr>
      </w:pPr>
      <w:r w:rsidRPr="00BC0701">
        <w:rPr>
          <w:rFonts w:cs="Arial"/>
        </w:rPr>
        <w:t xml:space="preserve">There is an opportunity to obtain revenue for the project by selling the spare capacity in the ERF, this however must be waste that is defined as Contract Waste, which means it must be collected either by or on behalf of the Councils and within the area of the MRWA and Halton; it can include municipal and trade waste. The revenue potential is the difference between the market price for this waste and the UC set out in the contract. </w:t>
      </w:r>
    </w:p>
    <w:p w:rsidR="004F3EFC" w:rsidRPr="00BC0701" w:rsidRDefault="004F3EFC" w:rsidP="004F3EFC">
      <w:pPr>
        <w:rPr>
          <w:rFonts w:cs="Arial"/>
        </w:rPr>
      </w:pPr>
      <w:r w:rsidRPr="00BC0701">
        <w:rPr>
          <w:rFonts w:cs="Arial"/>
        </w:rPr>
        <w:t>Arrangements to treat other local authority waste would be classified as third party waste and the contractor would share in the added revenue, thereby reducing the value of</w:t>
      </w:r>
      <w:r>
        <w:rPr>
          <w:rFonts w:cs="Arial"/>
        </w:rPr>
        <w:t xml:space="preserve"> this income to the authority. But there is always the possibility of negotiating with the contractor, as it is likely that this waste could be secured under longer term compared to the commercial markets and this might be more attractive to the contractor as it would underwrite electricity income.</w:t>
      </w:r>
    </w:p>
    <w:p w:rsidR="004F3EFC" w:rsidRPr="00BC0701" w:rsidRDefault="004F3EFC" w:rsidP="004F3EFC">
      <w:pPr>
        <w:rPr>
          <w:rFonts w:cs="Arial"/>
        </w:rPr>
      </w:pPr>
      <w:r w:rsidRPr="00BC0701">
        <w:rPr>
          <w:rFonts w:cs="Arial"/>
        </w:rPr>
        <w:t>Like most PFI contracts the UC is banded and the price varies according to the to</w:t>
      </w:r>
      <w:r>
        <w:rPr>
          <w:rFonts w:cs="Arial"/>
        </w:rPr>
        <w:t>nnage of waste supplied by the a</w:t>
      </w:r>
      <w:r w:rsidRPr="00BC0701">
        <w:rPr>
          <w:rFonts w:cs="Arial"/>
        </w:rPr>
        <w:t>uthority. In the RRC contract this is best illustrated by reference to Figure 5 below.</w:t>
      </w:r>
    </w:p>
    <w:p w:rsidR="004F3EFC" w:rsidRPr="00BC0701" w:rsidRDefault="004F3EFC" w:rsidP="004F3EFC">
      <w:pPr>
        <w:rPr>
          <w:rFonts w:cs="Arial"/>
        </w:rPr>
      </w:pPr>
      <w:r w:rsidRPr="00BC0701">
        <w:rPr>
          <w:rFonts w:cs="Arial"/>
        </w:rPr>
        <w:t xml:space="preserve">This shows how the price bands vary according to tonnage; the key point to note is that the band 2 price, which is the lowest price, is triggered at increasingly lower tonnages from 2018 until </w:t>
      </w:r>
      <w:r>
        <w:rPr>
          <w:rFonts w:cs="Arial"/>
        </w:rPr>
        <w:t>2031</w:t>
      </w:r>
      <w:r w:rsidRPr="00BC0701">
        <w:rPr>
          <w:rFonts w:cs="Arial"/>
        </w:rPr>
        <w:t xml:space="preserve"> when it plateaus. This means that any spare capacity that can be delivered within this price band is likely to produce a higher level of revenue.</w:t>
      </w:r>
    </w:p>
    <w:p w:rsidR="004F3EFC" w:rsidRPr="00BC0701" w:rsidRDefault="00272D34" w:rsidP="004F3EFC">
      <w:pPr>
        <w:rPr>
          <w:rFonts w:cs="Arial"/>
        </w:rPr>
      </w:pPr>
      <w:r w:rsidRPr="00BC0701">
        <w:rPr>
          <w:rFonts w:cs="Arial"/>
        </w:rPr>
        <w:t>Using the base case financial model assumptions the marginal cost of the gate fee and the shared electricity revenue are approximately equivalent and thus adding additional band 2 tonnage is approximately free and thus the value of the gate fee from the third party waste is the 80%</w:t>
      </w:r>
      <w:r>
        <w:rPr>
          <w:rFonts w:cs="Arial"/>
        </w:rPr>
        <w:t xml:space="preserve"> </w:t>
      </w:r>
      <w:r w:rsidRPr="00BC0701">
        <w:rPr>
          <w:rFonts w:cs="Arial"/>
        </w:rPr>
        <w:t>revenue share of this if taken in as 3</w:t>
      </w:r>
      <w:r w:rsidRPr="00BC0701">
        <w:rPr>
          <w:rFonts w:cs="Arial"/>
          <w:vertAlign w:val="superscript"/>
        </w:rPr>
        <w:t>rd</w:t>
      </w:r>
      <w:r w:rsidRPr="00BC0701">
        <w:rPr>
          <w:rFonts w:cs="Arial"/>
        </w:rPr>
        <w:t xml:space="preserve"> party waste (£56/t)</w:t>
      </w:r>
      <w:r>
        <w:rPr>
          <w:rStyle w:val="FootnoteReference"/>
          <w:rFonts w:cs="Arial"/>
        </w:rPr>
        <w:footnoteReference w:id="6"/>
      </w:r>
      <w:r w:rsidRPr="00BC0701">
        <w:rPr>
          <w:rFonts w:cs="Arial"/>
        </w:rPr>
        <w:t>.  This calculation of the equivalence of the energy revenue and Band 2 gate fee does assume the base case electricity price and in reality the power sales are currently above this value and the savings will be greater depending on the power market.  Thus the base case is shown below on the assumption of 430kt of contract waste.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6"/>
        <w:gridCol w:w="1533"/>
        <w:gridCol w:w="1536"/>
        <w:gridCol w:w="1536"/>
        <w:gridCol w:w="1571"/>
      </w:tblGrid>
      <w:tr w:rsidR="004F3EFC" w:rsidRPr="00BC0701" w:rsidTr="00F70041">
        <w:tc>
          <w:tcPr>
            <w:tcW w:w="3066" w:type="dxa"/>
          </w:tcPr>
          <w:p w:rsidR="004F3EFC" w:rsidRPr="00BC0701" w:rsidRDefault="004F3EFC" w:rsidP="004F3EFC">
            <w:pPr>
              <w:spacing w:after="0"/>
              <w:rPr>
                <w:b/>
                <w:szCs w:val="20"/>
              </w:rPr>
            </w:pPr>
            <w:r w:rsidRPr="00BC0701">
              <w:rPr>
                <w:b/>
                <w:szCs w:val="20"/>
              </w:rPr>
              <w:t>2018/19</w:t>
            </w:r>
          </w:p>
        </w:tc>
        <w:tc>
          <w:tcPr>
            <w:tcW w:w="1533" w:type="dxa"/>
          </w:tcPr>
          <w:p w:rsidR="004F3EFC" w:rsidRPr="00BC0701" w:rsidRDefault="004F3EFC" w:rsidP="004F3EFC">
            <w:pPr>
              <w:spacing w:after="0"/>
              <w:rPr>
                <w:b/>
                <w:szCs w:val="20"/>
              </w:rPr>
            </w:pPr>
            <w:r w:rsidRPr="00BC0701">
              <w:rPr>
                <w:b/>
                <w:szCs w:val="20"/>
              </w:rPr>
              <w:t>Tonnes</w:t>
            </w:r>
          </w:p>
        </w:tc>
        <w:tc>
          <w:tcPr>
            <w:tcW w:w="1536" w:type="dxa"/>
          </w:tcPr>
          <w:p w:rsidR="004F3EFC" w:rsidRPr="00BC0701" w:rsidRDefault="004F3EFC" w:rsidP="004F3EFC">
            <w:pPr>
              <w:spacing w:after="0"/>
              <w:rPr>
                <w:b/>
                <w:szCs w:val="20"/>
              </w:rPr>
            </w:pPr>
            <w:r w:rsidRPr="00BC0701">
              <w:rPr>
                <w:b/>
                <w:szCs w:val="20"/>
              </w:rPr>
              <w:t>Used</w:t>
            </w:r>
          </w:p>
        </w:tc>
        <w:tc>
          <w:tcPr>
            <w:tcW w:w="1536" w:type="dxa"/>
          </w:tcPr>
          <w:p w:rsidR="004F3EFC" w:rsidRPr="00BC0701" w:rsidRDefault="004F3EFC" w:rsidP="004F3EFC">
            <w:pPr>
              <w:spacing w:after="0"/>
              <w:rPr>
                <w:b/>
                <w:szCs w:val="20"/>
              </w:rPr>
            </w:pPr>
            <w:r w:rsidRPr="00BC0701">
              <w:rPr>
                <w:b/>
                <w:szCs w:val="20"/>
              </w:rPr>
              <w:t>Rate</w:t>
            </w:r>
          </w:p>
        </w:tc>
        <w:tc>
          <w:tcPr>
            <w:tcW w:w="1571" w:type="dxa"/>
          </w:tcPr>
          <w:p w:rsidR="004F3EFC" w:rsidRPr="00BC0701" w:rsidRDefault="004F3EFC" w:rsidP="004F3EFC">
            <w:pPr>
              <w:spacing w:after="0"/>
              <w:rPr>
                <w:b/>
                <w:szCs w:val="20"/>
              </w:rPr>
            </w:pPr>
            <w:r w:rsidRPr="00BC0701">
              <w:rPr>
                <w:b/>
                <w:szCs w:val="20"/>
              </w:rPr>
              <w:t>Total</w:t>
            </w:r>
          </w:p>
        </w:tc>
      </w:tr>
      <w:tr w:rsidR="004F3EFC" w:rsidRPr="00BC0701" w:rsidTr="00F70041">
        <w:tc>
          <w:tcPr>
            <w:tcW w:w="3066" w:type="dxa"/>
          </w:tcPr>
          <w:p w:rsidR="004F3EFC" w:rsidRPr="00BC0701" w:rsidRDefault="004F3EFC" w:rsidP="004F3EFC">
            <w:pPr>
              <w:keepNext/>
              <w:spacing w:before="240" w:after="0"/>
              <w:outlineLvl w:val="1"/>
              <w:rPr>
                <w:szCs w:val="20"/>
              </w:rPr>
            </w:pPr>
            <w:r w:rsidRPr="00BC0701">
              <w:rPr>
                <w:szCs w:val="20"/>
              </w:rPr>
              <w:t>Contract waste</w:t>
            </w:r>
          </w:p>
        </w:tc>
        <w:tc>
          <w:tcPr>
            <w:tcW w:w="1533" w:type="dxa"/>
          </w:tcPr>
          <w:p w:rsidR="004F3EFC" w:rsidRPr="00BC0701" w:rsidRDefault="004F3EFC" w:rsidP="004F3EFC">
            <w:pPr>
              <w:keepNext/>
              <w:spacing w:before="240" w:after="0"/>
              <w:outlineLvl w:val="1"/>
              <w:rPr>
                <w:szCs w:val="20"/>
              </w:rPr>
            </w:pPr>
            <w:r w:rsidRPr="00BC0701">
              <w:rPr>
                <w:szCs w:val="20"/>
              </w:rPr>
              <w:t>430,000</w:t>
            </w:r>
          </w:p>
        </w:tc>
        <w:tc>
          <w:tcPr>
            <w:tcW w:w="1536" w:type="dxa"/>
          </w:tcPr>
          <w:p w:rsidR="004F3EFC" w:rsidRPr="00BC0701" w:rsidRDefault="004F3EFC" w:rsidP="004F3EFC">
            <w:pPr>
              <w:spacing w:after="0"/>
              <w:rPr>
                <w:szCs w:val="20"/>
              </w:rPr>
            </w:pPr>
          </w:p>
        </w:tc>
        <w:tc>
          <w:tcPr>
            <w:tcW w:w="1536" w:type="dxa"/>
          </w:tcPr>
          <w:p w:rsidR="004F3EFC" w:rsidRPr="00BC0701" w:rsidRDefault="004F3EFC" w:rsidP="004F3EFC">
            <w:pPr>
              <w:spacing w:after="0"/>
              <w:rPr>
                <w:szCs w:val="20"/>
              </w:rPr>
            </w:pPr>
          </w:p>
        </w:tc>
        <w:tc>
          <w:tcPr>
            <w:tcW w:w="1571" w:type="dxa"/>
          </w:tcPr>
          <w:p w:rsidR="004F3EFC" w:rsidRPr="00BC0701" w:rsidRDefault="004F3EFC" w:rsidP="004F3EFC">
            <w:pPr>
              <w:spacing w:after="0"/>
              <w:rPr>
                <w:szCs w:val="20"/>
              </w:rPr>
            </w:pPr>
          </w:p>
        </w:tc>
      </w:tr>
      <w:tr w:rsidR="004F3EFC" w:rsidRPr="00BC0701" w:rsidTr="00F70041">
        <w:tc>
          <w:tcPr>
            <w:tcW w:w="3066" w:type="dxa"/>
          </w:tcPr>
          <w:p w:rsidR="004F3EFC" w:rsidRPr="00BC0701" w:rsidRDefault="004F3EFC" w:rsidP="004F3EFC">
            <w:pPr>
              <w:spacing w:after="0"/>
              <w:rPr>
                <w:szCs w:val="20"/>
              </w:rPr>
            </w:pPr>
            <w:r w:rsidRPr="00BC0701">
              <w:rPr>
                <w:szCs w:val="20"/>
              </w:rPr>
              <w:t>Band 1</w:t>
            </w:r>
          </w:p>
        </w:tc>
        <w:tc>
          <w:tcPr>
            <w:tcW w:w="1533" w:type="dxa"/>
          </w:tcPr>
          <w:p w:rsidR="004F3EFC" w:rsidRPr="00BC0701" w:rsidRDefault="004F3EFC" w:rsidP="004F3EFC">
            <w:pPr>
              <w:spacing w:after="0"/>
              <w:rPr>
                <w:szCs w:val="20"/>
              </w:rPr>
            </w:pPr>
            <w:r w:rsidRPr="00BC0701">
              <w:rPr>
                <w:szCs w:val="20"/>
              </w:rPr>
              <w:t>395,711</w:t>
            </w:r>
          </w:p>
        </w:tc>
        <w:tc>
          <w:tcPr>
            <w:tcW w:w="1536" w:type="dxa"/>
          </w:tcPr>
          <w:p w:rsidR="004F3EFC" w:rsidRPr="00BC0701" w:rsidRDefault="004F3EFC" w:rsidP="004F3EFC">
            <w:pPr>
              <w:spacing w:after="0"/>
              <w:rPr>
                <w:szCs w:val="20"/>
              </w:rPr>
            </w:pPr>
            <w:r w:rsidRPr="00BC0701">
              <w:rPr>
                <w:szCs w:val="20"/>
              </w:rPr>
              <w:t>395,711</w:t>
            </w:r>
          </w:p>
        </w:tc>
        <w:tc>
          <w:tcPr>
            <w:tcW w:w="1536" w:type="dxa"/>
          </w:tcPr>
          <w:p w:rsidR="004F3EFC" w:rsidRPr="00BC0701" w:rsidRDefault="004F3EFC" w:rsidP="004F3EFC">
            <w:pPr>
              <w:spacing w:after="0"/>
              <w:rPr>
                <w:szCs w:val="20"/>
              </w:rPr>
            </w:pPr>
            <w:r w:rsidRPr="00BC0701">
              <w:rPr>
                <w:szCs w:val="20"/>
              </w:rPr>
              <w:t>£92.92 (£91.81)</w:t>
            </w:r>
          </w:p>
        </w:tc>
        <w:tc>
          <w:tcPr>
            <w:tcW w:w="1571" w:type="dxa"/>
          </w:tcPr>
          <w:p w:rsidR="004F3EFC" w:rsidRPr="00BC0701" w:rsidRDefault="004F3EFC" w:rsidP="004F3EFC">
            <w:pPr>
              <w:spacing w:after="0"/>
              <w:rPr>
                <w:szCs w:val="20"/>
              </w:rPr>
            </w:pPr>
            <w:r w:rsidRPr="00BC0701">
              <w:rPr>
                <w:szCs w:val="20"/>
              </w:rPr>
              <w:t>£36.77m</w:t>
            </w:r>
          </w:p>
        </w:tc>
      </w:tr>
      <w:tr w:rsidR="004F3EFC" w:rsidRPr="00BC0701" w:rsidTr="00F70041">
        <w:tc>
          <w:tcPr>
            <w:tcW w:w="3066" w:type="dxa"/>
          </w:tcPr>
          <w:p w:rsidR="004F3EFC" w:rsidRPr="00BC0701" w:rsidRDefault="004F3EFC" w:rsidP="004F3EFC">
            <w:pPr>
              <w:spacing w:after="0"/>
              <w:rPr>
                <w:szCs w:val="20"/>
              </w:rPr>
            </w:pPr>
            <w:r w:rsidRPr="00BC0701">
              <w:rPr>
                <w:szCs w:val="20"/>
              </w:rPr>
              <w:t>Band 2</w:t>
            </w:r>
          </w:p>
        </w:tc>
        <w:tc>
          <w:tcPr>
            <w:tcW w:w="1533" w:type="dxa"/>
          </w:tcPr>
          <w:p w:rsidR="004F3EFC" w:rsidRPr="00BC0701" w:rsidRDefault="004F3EFC" w:rsidP="004F3EFC">
            <w:pPr>
              <w:spacing w:after="0"/>
              <w:rPr>
                <w:szCs w:val="20"/>
              </w:rPr>
            </w:pPr>
            <w:r w:rsidRPr="00BC0701">
              <w:rPr>
                <w:szCs w:val="20"/>
              </w:rPr>
              <w:t>43,968</w:t>
            </w:r>
          </w:p>
        </w:tc>
        <w:tc>
          <w:tcPr>
            <w:tcW w:w="1536" w:type="dxa"/>
          </w:tcPr>
          <w:p w:rsidR="004F3EFC" w:rsidRPr="00BC0701" w:rsidRDefault="004F3EFC" w:rsidP="004F3EFC">
            <w:pPr>
              <w:spacing w:after="0"/>
              <w:rPr>
                <w:szCs w:val="20"/>
              </w:rPr>
            </w:pPr>
            <w:r w:rsidRPr="00BC0701">
              <w:rPr>
                <w:szCs w:val="20"/>
              </w:rPr>
              <w:t>34,289</w:t>
            </w:r>
          </w:p>
        </w:tc>
        <w:tc>
          <w:tcPr>
            <w:tcW w:w="1536" w:type="dxa"/>
          </w:tcPr>
          <w:p w:rsidR="004F3EFC" w:rsidRPr="00BC0701" w:rsidRDefault="004F3EFC" w:rsidP="004F3EFC">
            <w:pPr>
              <w:spacing w:after="0"/>
              <w:rPr>
                <w:szCs w:val="20"/>
              </w:rPr>
            </w:pPr>
            <w:r w:rsidRPr="00BC0701">
              <w:rPr>
                <w:szCs w:val="20"/>
              </w:rPr>
              <w:t>£5.20 (£5.00)</w:t>
            </w:r>
          </w:p>
        </w:tc>
        <w:tc>
          <w:tcPr>
            <w:tcW w:w="1571" w:type="dxa"/>
          </w:tcPr>
          <w:p w:rsidR="004F3EFC" w:rsidRPr="00BC0701" w:rsidRDefault="004F3EFC" w:rsidP="004F3EFC">
            <w:pPr>
              <w:spacing w:after="0"/>
              <w:rPr>
                <w:szCs w:val="20"/>
              </w:rPr>
            </w:pPr>
            <w:r w:rsidRPr="00BC0701">
              <w:rPr>
                <w:szCs w:val="20"/>
              </w:rPr>
              <w:t>£0.18</w:t>
            </w:r>
          </w:p>
        </w:tc>
      </w:tr>
      <w:tr w:rsidR="004F3EFC" w:rsidRPr="00BC0701" w:rsidTr="00F70041">
        <w:tc>
          <w:tcPr>
            <w:tcW w:w="3066" w:type="dxa"/>
          </w:tcPr>
          <w:p w:rsidR="004F3EFC" w:rsidRPr="00BC0701" w:rsidRDefault="004F3EFC" w:rsidP="004F3EFC">
            <w:pPr>
              <w:spacing w:after="0"/>
              <w:rPr>
                <w:szCs w:val="20"/>
              </w:rPr>
            </w:pPr>
            <w:r w:rsidRPr="00BC0701">
              <w:rPr>
                <w:szCs w:val="20"/>
              </w:rPr>
              <w:t>Spare band 2 capacity</w:t>
            </w:r>
          </w:p>
        </w:tc>
        <w:tc>
          <w:tcPr>
            <w:tcW w:w="1533" w:type="dxa"/>
          </w:tcPr>
          <w:p w:rsidR="004F3EFC" w:rsidRPr="00BC0701" w:rsidRDefault="004F3EFC" w:rsidP="004F3EFC">
            <w:pPr>
              <w:spacing w:after="0"/>
              <w:rPr>
                <w:szCs w:val="20"/>
              </w:rPr>
            </w:pPr>
          </w:p>
        </w:tc>
        <w:tc>
          <w:tcPr>
            <w:tcW w:w="1536" w:type="dxa"/>
          </w:tcPr>
          <w:p w:rsidR="004F3EFC" w:rsidRPr="00BC0701" w:rsidRDefault="004F3EFC" w:rsidP="004F3EFC">
            <w:pPr>
              <w:spacing w:after="0"/>
              <w:rPr>
                <w:szCs w:val="20"/>
              </w:rPr>
            </w:pPr>
            <w:r w:rsidRPr="00BC0701">
              <w:rPr>
                <w:szCs w:val="20"/>
              </w:rPr>
              <w:t>9,679</w:t>
            </w:r>
          </w:p>
        </w:tc>
        <w:tc>
          <w:tcPr>
            <w:tcW w:w="1536" w:type="dxa"/>
          </w:tcPr>
          <w:p w:rsidR="004F3EFC" w:rsidRPr="00BC0701" w:rsidRDefault="004F3EFC" w:rsidP="004F3EFC">
            <w:pPr>
              <w:spacing w:after="0"/>
              <w:rPr>
                <w:szCs w:val="20"/>
              </w:rPr>
            </w:pPr>
          </w:p>
        </w:tc>
        <w:tc>
          <w:tcPr>
            <w:tcW w:w="1571" w:type="dxa"/>
          </w:tcPr>
          <w:p w:rsidR="004F3EFC" w:rsidRPr="00BC0701" w:rsidRDefault="004F3EFC" w:rsidP="004F3EFC">
            <w:pPr>
              <w:spacing w:after="0"/>
              <w:rPr>
                <w:szCs w:val="20"/>
              </w:rPr>
            </w:pPr>
          </w:p>
        </w:tc>
      </w:tr>
      <w:tr w:rsidR="004F3EFC" w:rsidRPr="00BC0701" w:rsidTr="00F70041">
        <w:tc>
          <w:tcPr>
            <w:tcW w:w="3066" w:type="dxa"/>
          </w:tcPr>
          <w:p w:rsidR="004F3EFC" w:rsidRPr="00BC0701" w:rsidRDefault="004F3EFC" w:rsidP="004F3EFC">
            <w:pPr>
              <w:spacing w:after="0"/>
              <w:rPr>
                <w:szCs w:val="20"/>
              </w:rPr>
            </w:pPr>
            <w:r w:rsidRPr="00BC0701">
              <w:rPr>
                <w:szCs w:val="20"/>
              </w:rPr>
              <w:t>Band 3</w:t>
            </w:r>
          </w:p>
        </w:tc>
        <w:tc>
          <w:tcPr>
            <w:tcW w:w="1533" w:type="dxa"/>
          </w:tcPr>
          <w:p w:rsidR="004F3EFC" w:rsidRPr="00BC0701" w:rsidRDefault="004F3EFC" w:rsidP="004F3EFC">
            <w:pPr>
              <w:spacing w:after="0"/>
              <w:rPr>
                <w:szCs w:val="20"/>
              </w:rPr>
            </w:pPr>
            <w:r w:rsidRPr="00BC0701">
              <w:rPr>
                <w:szCs w:val="20"/>
              </w:rPr>
              <w:t>24,019</w:t>
            </w:r>
          </w:p>
        </w:tc>
        <w:tc>
          <w:tcPr>
            <w:tcW w:w="1536" w:type="dxa"/>
          </w:tcPr>
          <w:p w:rsidR="004F3EFC" w:rsidRPr="00BC0701" w:rsidRDefault="004F3EFC" w:rsidP="004F3EFC">
            <w:pPr>
              <w:spacing w:after="0"/>
              <w:rPr>
                <w:szCs w:val="20"/>
              </w:rPr>
            </w:pPr>
            <w:r w:rsidRPr="00BC0701">
              <w:rPr>
                <w:szCs w:val="20"/>
              </w:rPr>
              <w:t>0</w:t>
            </w:r>
          </w:p>
        </w:tc>
        <w:tc>
          <w:tcPr>
            <w:tcW w:w="1536" w:type="dxa"/>
          </w:tcPr>
          <w:p w:rsidR="004F3EFC" w:rsidRPr="00BC0701" w:rsidRDefault="004F3EFC" w:rsidP="004F3EFC">
            <w:pPr>
              <w:spacing w:after="0"/>
              <w:rPr>
                <w:szCs w:val="20"/>
              </w:rPr>
            </w:pPr>
            <w:r w:rsidRPr="00BC0701">
              <w:rPr>
                <w:szCs w:val="20"/>
              </w:rPr>
              <w:t xml:space="preserve">£72.83 </w:t>
            </w:r>
            <w:r w:rsidRPr="00BC0701">
              <w:rPr>
                <w:szCs w:val="20"/>
              </w:rPr>
              <w:lastRenderedPageBreak/>
              <w:t>(£70.00)</w:t>
            </w:r>
          </w:p>
        </w:tc>
        <w:tc>
          <w:tcPr>
            <w:tcW w:w="1571" w:type="dxa"/>
          </w:tcPr>
          <w:p w:rsidR="004F3EFC" w:rsidRPr="00BC0701" w:rsidRDefault="004F3EFC" w:rsidP="004F3EFC">
            <w:pPr>
              <w:spacing w:after="0"/>
              <w:rPr>
                <w:szCs w:val="20"/>
              </w:rPr>
            </w:pPr>
            <w:r w:rsidRPr="00BC0701">
              <w:rPr>
                <w:szCs w:val="20"/>
              </w:rPr>
              <w:lastRenderedPageBreak/>
              <w:t>0</w:t>
            </w:r>
          </w:p>
        </w:tc>
      </w:tr>
      <w:tr w:rsidR="004F3EFC" w:rsidRPr="00BC0701" w:rsidTr="00F70041">
        <w:tc>
          <w:tcPr>
            <w:tcW w:w="3066" w:type="dxa"/>
          </w:tcPr>
          <w:p w:rsidR="004F3EFC" w:rsidRPr="00BC0701" w:rsidRDefault="004F3EFC" w:rsidP="004F3EFC">
            <w:pPr>
              <w:spacing w:after="0"/>
              <w:rPr>
                <w:szCs w:val="20"/>
              </w:rPr>
            </w:pPr>
            <w:r w:rsidRPr="00BC0701">
              <w:rPr>
                <w:szCs w:val="20"/>
              </w:rPr>
              <w:lastRenderedPageBreak/>
              <w:t>Guaranteed revenue</w:t>
            </w:r>
          </w:p>
        </w:tc>
        <w:tc>
          <w:tcPr>
            <w:tcW w:w="1533" w:type="dxa"/>
          </w:tcPr>
          <w:p w:rsidR="004F3EFC" w:rsidRPr="00BC0701" w:rsidRDefault="004F3EFC" w:rsidP="004F3EFC">
            <w:pPr>
              <w:spacing w:after="0"/>
              <w:rPr>
                <w:szCs w:val="20"/>
              </w:rPr>
            </w:pPr>
          </w:p>
        </w:tc>
        <w:tc>
          <w:tcPr>
            <w:tcW w:w="1536" w:type="dxa"/>
          </w:tcPr>
          <w:p w:rsidR="004F3EFC" w:rsidRPr="00BC0701" w:rsidRDefault="004F3EFC" w:rsidP="004F3EFC">
            <w:pPr>
              <w:spacing w:after="0"/>
              <w:rPr>
                <w:szCs w:val="20"/>
              </w:rPr>
            </w:pPr>
          </w:p>
        </w:tc>
        <w:tc>
          <w:tcPr>
            <w:tcW w:w="1536" w:type="dxa"/>
          </w:tcPr>
          <w:p w:rsidR="004F3EFC" w:rsidRPr="00BC0701" w:rsidRDefault="004F3EFC" w:rsidP="004F3EFC">
            <w:pPr>
              <w:spacing w:after="0"/>
              <w:rPr>
                <w:szCs w:val="20"/>
              </w:rPr>
            </w:pPr>
          </w:p>
        </w:tc>
        <w:tc>
          <w:tcPr>
            <w:tcW w:w="1571" w:type="dxa"/>
          </w:tcPr>
          <w:p w:rsidR="004F3EFC" w:rsidRPr="00BC0701" w:rsidRDefault="004F3EFC" w:rsidP="004F3EFC">
            <w:pPr>
              <w:spacing w:after="0"/>
              <w:rPr>
                <w:szCs w:val="20"/>
              </w:rPr>
            </w:pPr>
            <w:r w:rsidRPr="00BC0701">
              <w:rPr>
                <w:szCs w:val="20"/>
              </w:rPr>
              <w:t>£12.46m</w:t>
            </w:r>
          </w:p>
        </w:tc>
      </w:tr>
      <w:tr w:rsidR="004F3EFC" w:rsidRPr="00BC0701" w:rsidTr="00F70041">
        <w:tc>
          <w:tcPr>
            <w:tcW w:w="3066" w:type="dxa"/>
          </w:tcPr>
          <w:p w:rsidR="004F3EFC" w:rsidRPr="00BC0701" w:rsidRDefault="004F3EFC" w:rsidP="004F3EFC">
            <w:pPr>
              <w:spacing w:after="0"/>
              <w:rPr>
                <w:szCs w:val="20"/>
              </w:rPr>
            </w:pPr>
            <w:r w:rsidRPr="00BC0701">
              <w:rPr>
                <w:szCs w:val="20"/>
              </w:rPr>
              <w:t>Energy revenue</w:t>
            </w:r>
          </w:p>
        </w:tc>
        <w:tc>
          <w:tcPr>
            <w:tcW w:w="1533" w:type="dxa"/>
          </w:tcPr>
          <w:p w:rsidR="004F3EFC" w:rsidRPr="00BC0701" w:rsidRDefault="004F3EFC" w:rsidP="004F3EFC">
            <w:pPr>
              <w:spacing w:after="0"/>
              <w:rPr>
                <w:szCs w:val="20"/>
              </w:rPr>
            </w:pPr>
            <w:r w:rsidRPr="00BC0701">
              <w:rPr>
                <w:szCs w:val="20"/>
              </w:rPr>
              <w:t xml:space="preserve">302,017 </w:t>
            </w:r>
            <w:proofErr w:type="spellStart"/>
            <w:r w:rsidRPr="00BC0701">
              <w:rPr>
                <w:szCs w:val="20"/>
              </w:rPr>
              <w:t>MWh</w:t>
            </w:r>
            <w:proofErr w:type="spellEnd"/>
          </w:p>
        </w:tc>
        <w:tc>
          <w:tcPr>
            <w:tcW w:w="1536" w:type="dxa"/>
          </w:tcPr>
          <w:p w:rsidR="004F3EFC" w:rsidRPr="00BC0701" w:rsidRDefault="004F3EFC" w:rsidP="004F3EFC">
            <w:pPr>
              <w:spacing w:after="0"/>
              <w:rPr>
                <w:szCs w:val="20"/>
              </w:rPr>
            </w:pPr>
          </w:p>
        </w:tc>
        <w:tc>
          <w:tcPr>
            <w:tcW w:w="1536" w:type="dxa"/>
          </w:tcPr>
          <w:p w:rsidR="004F3EFC" w:rsidRPr="00BC0701" w:rsidRDefault="004F3EFC" w:rsidP="004F3EFC">
            <w:pPr>
              <w:spacing w:after="0"/>
              <w:rPr>
                <w:szCs w:val="20"/>
              </w:rPr>
            </w:pPr>
            <w:r w:rsidRPr="00BC0701">
              <w:rPr>
                <w:szCs w:val="20"/>
              </w:rPr>
              <w:t>£40/</w:t>
            </w:r>
            <w:proofErr w:type="spellStart"/>
            <w:r w:rsidRPr="00BC0701">
              <w:rPr>
                <w:szCs w:val="20"/>
              </w:rPr>
              <w:t>MWh</w:t>
            </w:r>
            <w:proofErr w:type="spellEnd"/>
          </w:p>
        </w:tc>
        <w:tc>
          <w:tcPr>
            <w:tcW w:w="1571" w:type="dxa"/>
          </w:tcPr>
          <w:p w:rsidR="004F3EFC" w:rsidRPr="00BC0701" w:rsidRDefault="004F3EFC" w:rsidP="004F3EFC">
            <w:pPr>
              <w:spacing w:after="0"/>
              <w:rPr>
                <w:szCs w:val="20"/>
              </w:rPr>
            </w:pPr>
            <w:r w:rsidRPr="00BC0701">
              <w:rPr>
                <w:szCs w:val="20"/>
              </w:rPr>
              <w:t>£12.08m</w:t>
            </w:r>
          </w:p>
        </w:tc>
      </w:tr>
      <w:tr w:rsidR="004F3EFC" w:rsidRPr="00BC0701" w:rsidTr="00F70041">
        <w:tc>
          <w:tcPr>
            <w:tcW w:w="3066" w:type="dxa"/>
          </w:tcPr>
          <w:p w:rsidR="004F3EFC" w:rsidRPr="00BC0701" w:rsidRDefault="004F3EFC" w:rsidP="004F3EFC">
            <w:pPr>
              <w:spacing w:after="0"/>
              <w:rPr>
                <w:szCs w:val="20"/>
              </w:rPr>
            </w:pPr>
            <w:r w:rsidRPr="00BC0701">
              <w:rPr>
                <w:szCs w:val="20"/>
              </w:rPr>
              <w:t>Additional 3</w:t>
            </w:r>
            <w:r w:rsidRPr="00BC0701">
              <w:rPr>
                <w:szCs w:val="20"/>
                <w:vertAlign w:val="superscript"/>
              </w:rPr>
              <w:t>rd</w:t>
            </w:r>
            <w:r w:rsidRPr="00BC0701">
              <w:rPr>
                <w:szCs w:val="20"/>
              </w:rPr>
              <w:t xml:space="preserve"> party waste revenue if filled by contractor</w:t>
            </w:r>
          </w:p>
        </w:tc>
        <w:tc>
          <w:tcPr>
            <w:tcW w:w="1533" w:type="dxa"/>
          </w:tcPr>
          <w:p w:rsidR="004F3EFC" w:rsidRPr="00BC0701" w:rsidRDefault="004F3EFC" w:rsidP="004F3EFC">
            <w:pPr>
              <w:spacing w:after="0"/>
              <w:rPr>
                <w:szCs w:val="20"/>
              </w:rPr>
            </w:pPr>
          </w:p>
        </w:tc>
        <w:tc>
          <w:tcPr>
            <w:tcW w:w="1536" w:type="dxa"/>
          </w:tcPr>
          <w:p w:rsidR="004F3EFC" w:rsidRPr="00BC0701" w:rsidRDefault="004F3EFC" w:rsidP="004F3EFC">
            <w:pPr>
              <w:spacing w:after="0"/>
              <w:rPr>
                <w:szCs w:val="20"/>
              </w:rPr>
            </w:pPr>
            <w:r w:rsidRPr="00BC0701">
              <w:rPr>
                <w:szCs w:val="20"/>
              </w:rPr>
              <w:t>9,679</w:t>
            </w:r>
          </w:p>
        </w:tc>
        <w:tc>
          <w:tcPr>
            <w:tcW w:w="1536" w:type="dxa"/>
          </w:tcPr>
          <w:p w:rsidR="004F3EFC" w:rsidRPr="00BC0701" w:rsidRDefault="00DA3085" w:rsidP="004F3EFC">
            <w:pPr>
              <w:spacing w:after="0"/>
              <w:rPr>
                <w:szCs w:val="20"/>
              </w:rPr>
            </w:pPr>
            <w:r>
              <w:rPr>
                <w:szCs w:val="20"/>
              </w:rPr>
              <w:t>80% of £85</w:t>
            </w:r>
            <w:r w:rsidR="004F3EFC" w:rsidRPr="00BC0701">
              <w:rPr>
                <w:szCs w:val="20"/>
              </w:rPr>
              <w:t>/t</w:t>
            </w:r>
          </w:p>
        </w:tc>
        <w:tc>
          <w:tcPr>
            <w:tcW w:w="1571" w:type="dxa"/>
          </w:tcPr>
          <w:p w:rsidR="004F3EFC" w:rsidRPr="00BC0701" w:rsidRDefault="004F3EFC" w:rsidP="004F3EFC">
            <w:pPr>
              <w:spacing w:after="0"/>
              <w:rPr>
                <w:szCs w:val="20"/>
              </w:rPr>
            </w:pPr>
            <w:r w:rsidRPr="00BC0701">
              <w:rPr>
                <w:szCs w:val="20"/>
              </w:rPr>
              <w:t>£0.54m</w:t>
            </w:r>
          </w:p>
        </w:tc>
      </w:tr>
      <w:tr w:rsidR="004F3EFC" w:rsidRPr="00BC0701" w:rsidTr="00F70041">
        <w:tc>
          <w:tcPr>
            <w:tcW w:w="3066" w:type="dxa"/>
          </w:tcPr>
          <w:p w:rsidR="004F3EFC" w:rsidRPr="00BC0701" w:rsidRDefault="004F3EFC" w:rsidP="004F3EFC">
            <w:pPr>
              <w:keepNext/>
              <w:spacing w:before="240" w:after="0"/>
              <w:outlineLvl w:val="1"/>
              <w:rPr>
                <w:szCs w:val="20"/>
              </w:rPr>
            </w:pPr>
            <w:r w:rsidRPr="00BC0701">
              <w:rPr>
                <w:szCs w:val="20"/>
              </w:rPr>
              <w:t>Cost if contractor supplied 3</w:t>
            </w:r>
            <w:r w:rsidRPr="00BC0701">
              <w:rPr>
                <w:szCs w:val="20"/>
                <w:vertAlign w:val="superscript"/>
              </w:rPr>
              <w:t>rd</w:t>
            </w:r>
            <w:r w:rsidRPr="00BC0701">
              <w:rPr>
                <w:szCs w:val="20"/>
              </w:rPr>
              <w:t xml:space="preserve"> party waste</w:t>
            </w:r>
          </w:p>
        </w:tc>
        <w:tc>
          <w:tcPr>
            <w:tcW w:w="1533" w:type="dxa"/>
          </w:tcPr>
          <w:p w:rsidR="004F3EFC" w:rsidRPr="00BC0701" w:rsidRDefault="004F3EFC" w:rsidP="004F3EFC">
            <w:pPr>
              <w:spacing w:after="0"/>
              <w:rPr>
                <w:szCs w:val="20"/>
              </w:rPr>
            </w:pPr>
          </w:p>
        </w:tc>
        <w:tc>
          <w:tcPr>
            <w:tcW w:w="1536" w:type="dxa"/>
          </w:tcPr>
          <w:p w:rsidR="004F3EFC" w:rsidRPr="00BC0701" w:rsidRDefault="004F3EFC" w:rsidP="004F3EFC">
            <w:pPr>
              <w:spacing w:after="0"/>
              <w:rPr>
                <w:szCs w:val="20"/>
              </w:rPr>
            </w:pPr>
          </w:p>
        </w:tc>
        <w:tc>
          <w:tcPr>
            <w:tcW w:w="1536" w:type="dxa"/>
          </w:tcPr>
          <w:p w:rsidR="004F3EFC" w:rsidRPr="00BC0701" w:rsidRDefault="004F3EFC" w:rsidP="004F3EFC">
            <w:pPr>
              <w:spacing w:after="0"/>
              <w:rPr>
                <w:szCs w:val="20"/>
              </w:rPr>
            </w:pPr>
          </w:p>
        </w:tc>
        <w:tc>
          <w:tcPr>
            <w:tcW w:w="1571" w:type="dxa"/>
          </w:tcPr>
          <w:p w:rsidR="004F3EFC" w:rsidRPr="00BC0701" w:rsidRDefault="004F3EFC" w:rsidP="008B5D7A">
            <w:pPr>
              <w:keepNext/>
              <w:numPr>
                <w:ilvl w:val="1"/>
                <w:numId w:val="6"/>
              </w:numPr>
              <w:spacing w:before="240" w:after="0" w:line="276" w:lineRule="auto"/>
              <w:outlineLvl w:val="1"/>
              <w:rPr>
                <w:szCs w:val="20"/>
              </w:rPr>
            </w:pPr>
            <w:r w:rsidRPr="00BC0701">
              <w:rPr>
                <w:szCs w:val="20"/>
              </w:rPr>
              <w:t>£23.95m</w:t>
            </w:r>
          </w:p>
        </w:tc>
      </w:tr>
      <w:tr w:rsidR="004F3EFC" w:rsidRPr="00BC0701" w:rsidTr="00F70041">
        <w:tc>
          <w:tcPr>
            <w:tcW w:w="3066" w:type="dxa"/>
          </w:tcPr>
          <w:p w:rsidR="004F3EFC" w:rsidRPr="00BC0701" w:rsidRDefault="004F3EFC" w:rsidP="004F3EFC">
            <w:pPr>
              <w:keepNext/>
              <w:spacing w:before="240" w:after="0"/>
              <w:outlineLvl w:val="1"/>
              <w:rPr>
                <w:szCs w:val="20"/>
              </w:rPr>
            </w:pPr>
            <w:r w:rsidRPr="00BC0701">
              <w:rPr>
                <w:szCs w:val="20"/>
              </w:rPr>
              <w:t>Cost if 3</w:t>
            </w:r>
            <w:r w:rsidRPr="00BC0701">
              <w:rPr>
                <w:szCs w:val="20"/>
                <w:vertAlign w:val="superscript"/>
              </w:rPr>
              <w:t>rd</w:t>
            </w:r>
            <w:r w:rsidRPr="00BC0701">
              <w:rPr>
                <w:szCs w:val="20"/>
              </w:rPr>
              <w:t xml:space="preserve"> party waste supplied as contract waste</w:t>
            </w:r>
          </w:p>
        </w:tc>
        <w:tc>
          <w:tcPr>
            <w:tcW w:w="1533" w:type="dxa"/>
          </w:tcPr>
          <w:p w:rsidR="004F3EFC" w:rsidRPr="00BC0701" w:rsidRDefault="004F3EFC" w:rsidP="004F3EFC">
            <w:pPr>
              <w:spacing w:after="0"/>
              <w:rPr>
                <w:szCs w:val="20"/>
              </w:rPr>
            </w:pPr>
          </w:p>
        </w:tc>
        <w:tc>
          <w:tcPr>
            <w:tcW w:w="1536" w:type="dxa"/>
          </w:tcPr>
          <w:p w:rsidR="004F3EFC" w:rsidRPr="00BC0701" w:rsidRDefault="004F3EFC" w:rsidP="004F3EFC">
            <w:pPr>
              <w:spacing w:after="0"/>
              <w:rPr>
                <w:szCs w:val="20"/>
              </w:rPr>
            </w:pPr>
          </w:p>
        </w:tc>
        <w:tc>
          <w:tcPr>
            <w:tcW w:w="1536" w:type="dxa"/>
          </w:tcPr>
          <w:p w:rsidR="004F3EFC" w:rsidRPr="00BC0701" w:rsidRDefault="004F3EFC" w:rsidP="004F3EFC">
            <w:pPr>
              <w:spacing w:after="0"/>
              <w:rPr>
                <w:szCs w:val="20"/>
              </w:rPr>
            </w:pPr>
          </w:p>
        </w:tc>
        <w:tc>
          <w:tcPr>
            <w:tcW w:w="1571" w:type="dxa"/>
          </w:tcPr>
          <w:p w:rsidR="004F3EFC" w:rsidRPr="00BC0701" w:rsidRDefault="004F3EFC" w:rsidP="004F3EFC">
            <w:pPr>
              <w:spacing w:after="0"/>
              <w:rPr>
                <w:szCs w:val="20"/>
              </w:rPr>
            </w:pPr>
            <w:r w:rsidRPr="00BC0701">
              <w:rPr>
                <w:szCs w:val="20"/>
              </w:rPr>
              <w:t>£23.86</w:t>
            </w:r>
          </w:p>
        </w:tc>
      </w:tr>
    </w:tbl>
    <w:p w:rsidR="004F3EFC" w:rsidRPr="00BC0701" w:rsidRDefault="004F3EFC" w:rsidP="004F3EFC">
      <w:pPr>
        <w:rPr>
          <w:rFonts w:cs="Arial"/>
        </w:rPr>
      </w:pPr>
    </w:p>
    <w:p w:rsidR="009917A8" w:rsidRPr="00BC0701" w:rsidRDefault="009917A8" w:rsidP="009917A8">
      <w:pPr>
        <w:rPr>
          <w:rFonts w:cs="Arial"/>
        </w:rPr>
      </w:pPr>
      <w:r w:rsidRPr="00BC0701">
        <w:rPr>
          <w:rFonts w:cs="Arial"/>
        </w:rPr>
        <w:t xml:space="preserve">The future quantity of spare band 2 capacities is unknown and will depend on the amount of diversion achieved through additional recycling or waste minimisation. In 2017/18 the GMT and band 2 tonnages are 401,743 t and 44,638t respectively. The most recent waste statistics for 2014/15 show that there was 387,869t of residual waste. </w:t>
      </w:r>
      <w:r>
        <w:rPr>
          <w:rFonts w:cs="Arial"/>
        </w:rPr>
        <w:t>However MRW</w:t>
      </w:r>
      <w:r w:rsidRPr="00BC0701">
        <w:rPr>
          <w:rFonts w:cs="Arial"/>
        </w:rPr>
        <w:t xml:space="preserve">A have suggested that their forecast for 2017/18 is circa 430kt of residual waste which would reduce the spare band 2 capacity to 13ktpa   As the band 1 level falls a greater tonnage of band 2 capacity becomes available and in consequence the opportunity </w:t>
      </w:r>
      <w:r>
        <w:rPr>
          <w:rFonts w:cs="Arial"/>
        </w:rPr>
        <w:t>for</w:t>
      </w:r>
      <w:r w:rsidRPr="00BC0701">
        <w:rPr>
          <w:rFonts w:cs="Arial"/>
        </w:rPr>
        <w:t xml:space="preserve"> </w:t>
      </w:r>
      <w:r>
        <w:rPr>
          <w:rFonts w:cs="Arial"/>
        </w:rPr>
        <w:t>income sharing</w:t>
      </w:r>
      <w:r w:rsidRPr="00BC0701">
        <w:rPr>
          <w:rFonts w:cs="Arial"/>
        </w:rPr>
        <w:t xml:space="preserve"> also increases.</w:t>
      </w:r>
    </w:p>
    <w:p w:rsidR="004F3EFC" w:rsidRPr="00BC0701" w:rsidRDefault="004F3EFC" w:rsidP="004F3EFC">
      <w:pPr>
        <w:keepNext/>
        <w:rPr>
          <w:rFonts w:cs="Arial"/>
        </w:rPr>
      </w:pPr>
      <w:r w:rsidRPr="00BC0701">
        <w:rPr>
          <w:rFonts w:cs="Arial"/>
          <w:noProof/>
          <w:lang w:val="en-US" w:eastAsia="en-US"/>
        </w:rPr>
        <w:drawing>
          <wp:inline distT="0" distB="0" distL="0" distR="0" wp14:anchorId="1FF237B9" wp14:editId="2A507FA9">
            <wp:extent cx="4568825" cy="2208530"/>
            <wp:effectExtent l="0" t="0" r="28575" b="26670"/>
            <wp:docPr id="1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F3EFC" w:rsidRPr="00BC0701" w:rsidRDefault="004F3EFC" w:rsidP="004F3EFC">
      <w:pPr>
        <w:pStyle w:val="Caption"/>
        <w:rPr>
          <w:rFonts w:ascii="Arial" w:hAnsi="Arial" w:cs="Arial"/>
        </w:rPr>
      </w:pPr>
      <w:r w:rsidRPr="00BC0701">
        <w:rPr>
          <w:rFonts w:ascii="Arial" w:hAnsi="Arial" w:cs="Arial"/>
        </w:rPr>
        <w:t xml:space="preserve">Figure </w:t>
      </w:r>
      <w:r w:rsidRPr="00BC0701">
        <w:rPr>
          <w:rFonts w:ascii="Arial" w:hAnsi="Arial" w:cs="Arial"/>
        </w:rPr>
        <w:fldChar w:fldCharType="begin"/>
      </w:r>
      <w:r w:rsidRPr="00BC0701">
        <w:rPr>
          <w:rFonts w:ascii="Arial" w:hAnsi="Arial" w:cs="Arial"/>
        </w:rPr>
        <w:instrText xml:space="preserve"> SEQ Figure \* ARABIC </w:instrText>
      </w:r>
      <w:r w:rsidRPr="00BC0701">
        <w:rPr>
          <w:rFonts w:ascii="Arial" w:hAnsi="Arial" w:cs="Arial"/>
        </w:rPr>
        <w:fldChar w:fldCharType="separate"/>
      </w:r>
      <w:r w:rsidR="001F0B12">
        <w:rPr>
          <w:rFonts w:ascii="Arial" w:hAnsi="Arial" w:cs="Arial"/>
          <w:noProof/>
        </w:rPr>
        <w:t>5</w:t>
      </w:r>
      <w:r w:rsidRPr="00BC0701">
        <w:rPr>
          <w:rFonts w:ascii="Arial" w:hAnsi="Arial" w:cs="Arial"/>
          <w:noProof/>
        </w:rPr>
        <w:fldChar w:fldCharType="end"/>
      </w:r>
      <w:r w:rsidRPr="00BC0701">
        <w:rPr>
          <w:rFonts w:ascii="Arial" w:hAnsi="Arial" w:cs="Arial"/>
        </w:rPr>
        <w:t xml:space="preserve"> RRC banding structure</w:t>
      </w:r>
    </w:p>
    <w:p w:rsidR="004F3EFC" w:rsidRPr="00BC0701" w:rsidRDefault="004F3EFC" w:rsidP="004F3EFC">
      <w:pPr>
        <w:rPr>
          <w:rFonts w:cs="Arial"/>
        </w:rPr>
      </w:pPr>
      <w:r w:rsidRPr="00BC0701">
        <w:rPr>
          <w:rFonts w:cs="Arial"/>
        </w:rPr>
        <w:t>The income from the contract is dependent on the markets for energy and 3</w:t>
      </w:r>
      <w:r w:rsidRPr="00BC0701">
        <w:rPr>
          <w:rFonts w:cs="Arial"/>
          <w:vertAlign w:val="superscript"/>
        </w:rPr>
        <w:t>rd</w:t>
      </w:r>
      <w:r w:rsidRPr="00BC0701">
        <w:rPr>
          <w:rFonts w:cs="Arial"/>
        </w:rPr>
        <w:t xml:space="preserve"> party waste and these variances will feed directly in to the income generated.  Falls in the prices that bring the revenue below the guaranteed level will not be transferred to the authority but the excess will be shared.  Thus an increase in the gate fee achieved would increase revenue, for example if an average of £75/t were achieved by the contractor then the income from the band 3 tonnage supplied by the contractor would increase </w:t>
      </w:r>
      <w:proofErr w:type="gramStart"/>
      <w:r w:rsidRPr="00BC0701">
        <w:rPr>
          <w:rFonts w:cs="Arial"/>
        </w:rPr>
        <w:t>revenue  by</w:t>
      </w:r>
      <w:proofErr w:type="gramEnd"/>
      <w:r w:rsidRPr="00BC0701">
        <w:rPr>
          <w:rFonts w:cs="Arial"/>
        </w:rPr>
        <w:t xml:space="preserve"> £120k which would shared equally thus the Authority would gain £60k.  In addition if the contractor were filling the spare band 2 tonnage the shared income from that would increase from £542k to £581k and additional £39k providing a total increase in revenue of £99k.</w:t>
      </w:r>
    </w:p>
    <w:p w:rsidR="004F3EFC" w:rsidRPr="00BC0701" w:rsidRDefault="004F3EFC" w:rsidP="004F3EFC">
      <w:pPr>
        <w:rPr>
          <w:rFonts w:cs="Arial"/>
        </w:rPr>
      </w:pPr>
      <w:r w:rsidRPr="00BC0701">
        <w:rPr>
          <w:rFonts w:cs="Arial"/>
        </w:rPr>
        <w:t>In a similar way if the energy process increase above the base case price of £40/</w:t>
      </w:r>
      <w:proofErr w:type="spellStart"/>
      <w:r w:rsidRPr="00BC0701">
        <w:rPr>
          <w:rFonts w:cs="Arial"/>
        </w:rPr>
        <w:t>MWh</w:t>
      </w:r>
      <w:proofErr w:type="spellEnd"/>
      <w:r w:rsidRPr="00BC0701">
        <w:rPr>
          <w:rFonts w:cs="Arial"/>
        </w:rPr>
        <w:t xml:space="preserve"> then the revenue generated will be shared.  For example if the price increased to £45/</w:t>
      </w:r>
      <w:proofErr w:type="spellStart"/>
      <w:r w:rsidRPr="00BC0701">
        <w:rPr>
          <w:rFonts w:cs="Arial"/>
        </w:rPr>
        <w:t>MWh</w:t>
      </w:r>
      <w:proofErr w:type="spellEnd"/>
      <w:r w:rsidRPr="00BC0701">
        <w:rPr>
          <w:rFonts w:cs="Arial"/>
        </w:rPr>
        <w:t xml:space="preserve"> the generated revenue would be £13.908m</w:t>
      </w:r>
      <w:r>
        <w:rPr>
          <w:rFonts w:cs="Arial"/>
        </w:rPr>
        <w:t xml:space="preserve">, </w:t>
      </w:r>
      <w:r w:rsidRPr="00BC0701">
        <w:rPr>
          <w:rFonts w:cs="Arial"/>
        </w:rPr>
        <w:t xml:space="preserve">which is £1.133m above the guarantee.  This would be shared equally so the authority would gain a further £567k.  This shows that energy </w:t>
      </w:r>
      <w:r>
        <w:rPr>
          <w:rFonts w:cs="Arial"/>
        </w:rPr>
        <w:t>sharing</w:t>
      </w:r>
      <w:r w:rsidRPr="00BC0701">
        <w:rPr>
          <w:rFonts w:cs="Arial"/>
        </w:rPr>
        <w:t xml:space="preserve"> has the potential to provide more additional revenue than the 3</w:t>
      </w:r>
      <w:r w:rsidRPr="00BC0701">
        <w:rPr>
          <w:rFonts w:cs="Arial"/>
          <w:vertAlign w:val="superscript"/>
        </w:rPr>
        <w:t>rd</w:t>
      </w:r>
      <w:r w:rsidRPr="00BC0701">
        <w:rPr>
          <w:rFonts w:cs="Arial"/>
        </w:rPr>
        <w:t xml:space="preserve"> party waste although the authority has no control over this and will just </w:t>
      </w:r>
      <w:r>
        <w:rPr>
          <w:rFonts w:cs="Arial"/>
        </w:rPr>
        <w:t>see</w:t>
      </w:r>
      <w:r w:rsidRPr="00BC0701">
        <w:rPr>
          <w:rFonts w:cs="Arial"/>
        </w:rPr>
        <w:t xml:space="preserve"> a windfall if prices rise.  Energy prices are volatile but the most recent indications are that whole sale prices have been depressed due to the falling oil price but are currently just above the base line £40/</w:t>
      </w:r>
      <w:proofErr w:type="spellStart"/>
      <w:r w:rsidRPr="00BC0701">
        <w:rPr>
          <w:rFonts w:cs="Arial"/>
        </w:rPr>
        <w:t>MWh</w:t>
      </w:r>
      <w:proofErr w:type="spellEnd"/>
      <w:r w:rsidRPr="00BC0701">
        <w:rPr>
          <w:rFonts w:cs="Arial"/>
        </w:rPr>
        <w:t>.</w:t>
      </w:r>
    </w:p>
    <w:p w:rsidR="004F3EFC" w:rsidRPr="00BC0701" w:rsidRDefault="004F3EFC" w:rsidP="004F3EFC">
      <w:pPr>
        <w:pStyle w:val="Caption"/>
        <w:keepNext/>
        <w:rPr>
          <w:rFonts w:ascii="Arial" w:hAnsi="Arial" w:cs="Arial"/>
        </w:rPr>
      </w:pPr>
      <w:r w:rsidRPr="00BC0701">
        <w:rPr>
          <w:rFonts w:ascii="Arial" w:hAnsi="Arial" w:cs="Arial"/>
        </w:rPr>
        <w:lastRenderedPageBreak/>
        <w:t xml:space="preserve">Figure </w:t>
      </w:r>
      <w:r w:rsidRPr="00BC0701">
        <w:rPr>
          <w:rFonts w:ascii="Arial" w:hAnsi="Arial" w:cs="Arial"/>
        </w:rPr>
        <w:fldChar w:fldCharType="begin"/>
      </w:r>
      <w:r w:rsidRPr="00BC0701">
        <w:rPr>
          <w:rFonts w:ascii="Arial" w:hAnsi="Arial" w:cs="Arial"/>
        </w:rPr>
        <w:instrText xml:space="preserve"> SEQ Figure \* ARABIC </w:instrText>
      </w:r>
      <w:r w:rsidRPr="00BC0701">
        <w:rPr>
          <w:rFonts w:ascii="Arial" w:hAnsi="Arial" w:cs="Arial"/>
        </w:rPr>
        <w:fldChar w:fldCharType="separate"/>
      </w:r>
      <w:r w:rsidR="001F0B12">
        <w:rPr>
          <w:rFonts w:ascii="Arial" w:hAnsi="Arial" w:cs="Arial"/>
          <w:noProof/>
        </w:rPr>
        <w:t>6</w:t>
      </w:r>
      <w:r w:rsidRPr="00BC0701">
        <w:rPr>
          <w:rFonts w:ascii="Arial" w:hAnsi="Arial" w:cs="Arial"/>
        </w:rPr>
        <w:fldChar w:fldCharType="end"/>
      </w:r>
      <w:r w:rsidRPr="00BC0701">
        <w:rPr>
          <w:rFonts w:ascii="Arial" w:hAnsi="Arial" w:cs="Arial"/>
        </w:rPr>
        <w:t xml:space="preserve"> Wholesale power pricing 2016</w:t>
      </w:r>
      <w:r w:rsidRPr="00BC0701">
        <w:rPr>
          <w:rStyle w:val="FootnoteReference"/>
          <w:rFonts w:ascii="Arial" w:hAnsi="Arial" w:cs="Arial"/>
        </w:rPr>
        <w:footnoteReference w:id="7"/>
      </w:r>
    </w:p>
    <w:p w:rsidR="004F3EFC" w:rsidRDefault="004F3EFC" w:rsidP="004F3EFC">
      <w:pPr>
        <w:rPr>
          <w:rFonts w:cs="Arial"/>
        </w:rPr>
      </w:pPr>
      <w:r w:rsidRPr="00BC0701">
        <w:rPr>
          <w:rFonts w:cs="Arial"/>
          <w:noProof/>
          <w:lang w:val="en-US" w:eastAsia="en-US"/>
        </w:rPr>
        <w:drawing>
          <wp:inline distT="0" distB="0" distL="0" distR="0" wp14:anchorId="6D3E4CDC" wp14:editId="0A17854B">
            <wp:extent cx="3947375" cy="248302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2" cstate="screen">
                      <a:extLst>
                        <a:ext uri="{28A0092B-C50C-407E-A947-70E740481C1C}">
                          <a14:useLocalDpi xmlns:a14="http://schemas.microsoft.com/office/drawing/2010/main"/>
                        </a:ext>
                      </a:extLst>
                    </a:blip>
                    <a:srcRect/>
                    <a:stretch/>
                  </pic:blipFill>
                  <pic:spPr bwMode="auto">
                    <a:xfrm>
                      <a:off x="0" y="0"/>
                      <a:ext cx="3947658" cy="2483204"/>
                    </a:xfrm>
                    <a:prstGeom prst="rect">
                      <a:avLst/>
                    </a:prstGeom>
                    <a:ln>
                      <a:noFill/>
                    </a:ln>
                    <a:extLst>
                      <a:ext uri="{53640926-AAD7-44d8-BBD7-CCE9431645EC}">
                        <a14:shadowObscured xmlns:a14="http://schemas.microsoft.com/office/drawing/2010/main"/>
                      </a:ext>
                    </a:extLst>
                  </pic:spPr>
                </pic:pic>
              </a:graphicData>
            </a:graphic>
          </wp:inline>
        </w:drawing>
      </w:r>
    </w:p>
    <w:p w:rsidR="009917A8" w:rsidRPr="00BC0701" w:rsidRDefault="009917A8" w:rsidP="009917A8">
      <w:pPr>
        <w:rPr>
          <w:rFonts w:cs="Arial"/>
        </w:rPr>
      </w:pPr>
      <w:r>
        <w:rPr>
          <w:rFonts w:cs="Arial"/>
        </w:rPr>
        <w:t>Appendix 1 contains 2 worked examples of how the authority could generate income from reducing the tonnage of residual waste by increasing recycling and creating spare capacity at the RRC that could be sold to the market.</w:t>
      </w:r>
    </w:p>
    <w:p w:rsidR="004F3EFC" w:rsidRPr="00BC0701" w:rsidRDefault="004F3EFC" w:rsidP="008B5D7A">
      <w:pPr>
        <w:pStyle w:val="Heading4"/>
        <w:keepLines w:val="0"/>
        <w:numPr>
          <w:ilvl w:val="3"/>
          <w:numId w:val="6"/>
        </w:numPr>
        <w:spacing w:after="60" w:line="276" w:lineRule="auto"/>
        <w:rPr>
          <w:rFonts w:cs="Arial"/>
        </w:rPr>
      </w:pPr>
      <w:r w:rsidRPr="00BC0701">
        <w:rPr>
          <w:rFonts w:cs="Arial"/>
        </w:rPr>
        <w:t>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946"/>
        <w:gridCol w:w="2018"/>
        <w:gridCol w:w="1647"/>
        <w:gridCol w:w="1647"/>
      </w:tblGrid>
      <w:tr w:rsidR="004F3EFC" w:rsidRPr="00BC0701" w:rsidTr="004F3EFC">
        <w:tc>
          <w:tcPr>
            <w:tcW w:w="1984" w:type="dxa"/>
            <w:shd w:val="pct20" w:color="auto" w:fill="auto"/>
          </w:tcPr>
          <w:p w:rsidR="004F3EFC" w:rsidRPr="00BC0701" w:rsidRDefault="004F3EFC" w:rsidP="004F3EFC">
            <w:pPr>
              <w:jc w:val="both"/>
              <w:rPr>
                <w:rFonts w:eastAsia="MS Mincho" w:cs="Arial"/>
              </w:rPr>
            </w:pPr>
            <w:r w:rsidRPr="00BC0701">
              <w:rPr>
                <w:rFonts w:eastAsia="MS Mincho" w:cs="Arial"/>
              </w:rPr>
              <w:t>Saving opportunity descriptor</w:t>
            </w:r>
          </w:p>
        </w:tc>
        <w:tc>
          <w:tcPr>
            <w:tcW w:w="1946" w:type="dxa"/>
            <w:shd w:val="pct20" w:color="auto" w:fill="auto"/>
          </w:tcPr>
          <w:p w:rsidR="004F3EFC" w:rsidRPr="00BC0701" w:rsidRDefault="004F3EFC" w:rsidP="004F3EFC">
            <w:pPr>
              <w:jc w:val="both"/>
              <w:rPr>
                <w:rFonts w:eastAsia="MS Mincho" w:cs="Arial"/>
              </w:rPr>
            </w:pPr>
            <w:r w:rsidRPr="00BC0701">
              <w:rPr>
                <w:rFonts w:eastAsia="MS Mincho" w:cs="Arial"/>
              </w:rPr>
              <w:t>Periodicity</w:t>
            </w:r>
          </w:p>
        </w:tc>
        <w:tc>
          <w:tcPr>
            <w:tcW w:w="2018" w:type="dxa"/>
            <w:shd w:val="pct20" w:color="auto" w:fill="auto"/>
          </w:tcPr>
          <w:p w:rsidR="004F3EFC" w:rsidRPr="00BC0701" w:rsidRDefault="004F3EFC" w:rsidP="004F3EFC">
            <w:pPr>
              <w:jc w:val="both"/>
              <w:rPr>
                <w:rFonts w:eastAsia="MS Mincho" w:cs="Arial"/>
              </w:rPr>
            </w:pPr>
            <w:r w:rsidRPr="00BC0701">
              <w:rPr>
                <w:rFonts w:eastAsia="MS Mincho" w:cs="Arial"/>
              </w:rPr>
              <w:t>Invest to Save Requirement (2015/16 prices)</w:t>
            </w:r>
          </w:p>
        </w:tc>
        <w:tc>
          <w:tcPr>
            <w:tcW w:w="1647" w:type="dxa"/>
            <w:shd w:val="pct20" w:color="auto" w:fill="auto"/>
          </w:tcPr>
          <w:p w:rsidR="004F3EFC" w:rsidRPr="00BC0701" w:rsidRDefault="004F3EFC" w:rsidP="004F3EFC">
            <w:pPr>
              <w:jc w:val="both"/>
              <w:rPr>
                <w:rFonts w:eastAsia="MS Mincho" w:cs="Arial"/>
              </w:rPr>
            </w:pPr>
            <w:r w:rsidRPr="00BC0701">
              <w:rPr>
                <w:rFonts w:eastAsia="MS Mincho" w:cs="Arial"/>
              </w:rPr>
              <w:t>Opex Saving (2015/16 prices)</w:t>
            </w:r>
          </w:p>
        </w:tc>
        <w:tc>
          <w:tcPr>
            <w:tcW w:w="1647" w:type="dxa"/>
            <w:shd w:val="pct20" w:color="auto" w:fill="auto"/>
          </w:tcPr>
          <w:p w:rsidR="004F3EFC" w:rsidRPr="00BC0701" w:rsidRDefault="004F3EFC" w:rsidP="004F3EFC">
            <w:pPr>
              <w:jc w:val="both"/>
              <w:rPr>
                <w:rFonts w:eastAsia="MS Mincho" w:cs="Arial"/>
              </w:rPr>
            </w:pPr>
            <w:r w:rsidRPr="00BC0701">
              <w:rPr>
                <w:rFonts w:eastAsia="MS Mincho" w:cs="Arial"/>
              </w:rPr>
              <w:t>Capex Saving (2015/16 prices)</w:t>
            </w:r>
          </w:p>
        </w:tc>
      </w:tr>
      <w:tr w:rsidR="004F3EFC" w:rsidRPr="00BC0701" w:rsidTr="004F3EFC">
        <w:tc>
          <w:tcPr>
            <w:tcW w:w="1984" w:type="dxa"/>
            <w:shd w:val="clear" w:color="auto" w:fill="auto"/>
          </w:tcPr>
          <w:p w:rsidR="004F3EFC" w:rsidRPr="00BC0701" w:rsidRDefault="004F3EFC" w:rsidP="004F3EFC">
            <w:pPr>
              <w:jc w:val="both"/>
              <w:rPr>
                <w:rFonts w:eastAsia="MS Mincho" w:cs="Arial"/>
              </w:rPr>
            </w:pPr>
            <w:r w:rsidRPr="00BC0701">
              <w:rPr>
                <w:rFonts w:eastAsia="MS Mincho" w:cs="Arial"/>
              </w:rPr>
              <w:t>Increasing contract waste utilisation</w:t>
            </w:r>
          </w:p>
        </w:tc>
        <w:tc>
          <w:tcPr>
            <w:tcW w:w="1946" w:type="dxa"/>
            <w:shd w:val="clear" w:color="auto" w:fill="auto"/>
          </w:tcPr>
          <w:p w:rsidR="004F3EFC" w:rsidRPr="00BC0701" w:rsidRDefault="00DA3085" w:rsidP="004F3EFC">
            <w:pPr>
              <w:jc w:val="both"/>
              <w:rPr>
                <w:rFonts w:eastAsia="MS Mincho" w:cs="Arial"/>
              </w:rPr>
            </w:pPr>
            <w:r w:rsidRPr="00BC0701">
              <w:rPr>
                <w:rFonts w:eastAsia="MS Mincho" w:cs="Arial"/>
              </w:rPr>
              <w:t>Annual</w:t>
            </w:r>
          </w:p>
        </w:tc>
        <w:tc>
          <w:tcPr>
            <w:tcW w:w="2018" w:type="dxa"/>
            <w:shd w:val="clear" w:color="auto" w:fill="auto"/>
          </w:tcPr>
          <w:p w:rsidR="004F3EFC" w:rsidRPr="00BC0701" w:rsidRDefault="004F3EFC" w:rsidP="004F3EFC">
            <w:pPr>
              <w:jc w:val="both"/>
              <w:rPr>
                <w:rFonts w:eastAsia="MS Mincho" w:cs="Arial"/>
              </w:rPr>
            </w:pPr>
          </w:p>
        </w:tc>
        <w:tc>
          <w:tcPr>
            <w:tcW w:w="1647" w:type="dxa"/>
            <w:shd w:val="clear" w:color="auto" w:fill="auto"/>
          </w:tcPr>
          <w:p w:rsidR="004F3EFC" w:rsidRPr="00BC0701" w:rsidRDefault="00DA3085" w:rsidP="004F3EFC">
            <w:pPr>
              <w:jc w:val="both"/>
              <w:rPr>
                <w:rFonts w:eastAsia="MS Mincho" w:cs="Arial"/>
              </w:rPr>
            </w:pPr>
            <w:r>
              <w:rPr>
                <w:rFonts w:eastAsia="MS Mincho" w:cs="Arial"/>
              </w:rPr>
              <w:t>Up to £0.54</w:t>
            </w:r>
            <w:r w:rsidR="004F3EFC" w:rsidRPr="00BC0701">
              <w:rPr>
                <w:rFonts w:eastAsia="MS Mincho" w:cs="Arial"/>
              </w:rPr>
              <w:t>m</w:t>
            </w:r>
          </w:p>
        </w:tc>
        <w:tc>
          <w:tcPr>
            <w:tcW w:w="1647" w:type="dxa"/>
            <w:shd w:val="clear" w:color="auto" w:fill="auto"/>
          </w:tcPr>
          <w:p w:rsidR="004F3EFC" w:rsidRPr="00BC0701" w:rsidRDefault="004F3EFC" w:rsidP="004F3EFC">
            <w:pPr>
              <w:jc w:val="both"/>
              <w:rPr>
                <w:rFonts w:eastAsia="MS Mincho" w:cs="Arial"/>
              </w:rPr>
            </w:pPr>
          </w:p>
        </w:tc>
      </w:tr>
    </w:tbl>
    <w:p w:rsidR="004F3EFC" w:rsidRPr="00BC0701" w:rsidRDefault="004F3EFC" w:rsidP="004F3EFC">
      <w:pPr>
        <w:spacing w:before="120"/>
        <w:rPr>
          <w:rFonts w:cs="Arial"/>
          <w:b/>
        </w:rPr>
      </w:pPr>
      <w:r w:rsidRPr="00BC0701">
        <w:rPr>
          <w:rFonts w:cs="Arial"/>
          <w:b/>
          <w:noProof/>
          <w:lang w:val="en-US" w:eastAsia="en-US"/>
        </w:rPr>
        <w:drawing>
          <wp:anchor distT="0" distB="0" distL="114300" distR="114300" simplePos="0" relativeHeight="251674624" behindDoc="1" locked="0" layoutInCell="1" allowOverlap="1" wp14:anchorId="43613AFA" wp14:editId="04207386">
            <wp:simplePos x="0" y="0"/>
            <wp:positionH relativeFrom="column">
              <wp:posOffset>5037455</wp:posOffset>
            </wp:positionH>
            <wp:positionV relativeFrom="paragraph">
              <wp:posOffset>128270</wp:posOffset>
            </wp:positionV>
            <wp:extent cx="770255" cy="1261745"/>
            <wp:effectExtent l="0" t="0" r="0" b="8255"/>
            <wp:wrapTight wrapText="bothSides">
              <wp:wrapPolygon edited="0">
                <wp:start x="712" y="0"/>
                <wp:lineTo x="0" y="3913"/>
                <wp:lineTo x="0" y="21306"/>
                <wp:lineTo x="20656" y="21306"/>
                <wp:lineTo x="20656" y="3913"/>
                <wp:lineTo x="19232" y="0"/>
                <wp:lineTo x="712" y="0"/>
              </wp:wrapPolygon>
            </wp:wrapTight>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70255" cy="1261745"/>
                    </a:xfrm>
                    <a:prstGeom prst="rect">
                      <a:avLst/>
                    </a:prstGeom>
                    <a:noFill/>
                  </pic:spPr>
                </pic:pic>
              </a:graphicData>
            </a:graphic>
            <wp14:sizeRelH relativeFrom="page">
              <wp14:pctWidth>0</wp14:pctWidth>
            </wp14:sizeRelH>
            <wp14:sizeRelV relativeFrom="page">
              <wp14:pctHeight>0</wp14:pctHeight>
            </wp14:sizeRelV>
          </wp:anchor>
        </w:drawing>
      </w:r>
      <w:r w:rsidRPr="00BC0701">
        <w:rPr>
          <w:rFonts w:cs="Arial"/>
          <w:b/>
        </w:rPr>
        <w:t>Description</w:t>
      </w:r>
    </w:p>
    <w:p w:rsidR="00DA3085" w:rsidRPr="00BC0701" w:rsidRDefault="00DA3085" w:rsidP="00DA3085">
      <w:pPr>
        <w:rPr>
          <w:rFonts w:cs="Arial"/>
        </w:rPr>
      </w:pPr>
      <w:r w:rsidRPr="00BC0701">
        <w:rPr>
          <w:rFonts w:cs="Arial"/>
        </w:rPr>
        <w:t>The project is estimated to have spare capacity of up to 60ktpa in the initial years if the proposed recycling options are taken up.  In part this is due to success in increases in recycling and lower waste growth rates.  This spare capacity needs to be utilised to provide the gate fe</w:t>
      </w:r>
      <w:r>
        <w:rPr>
          <w:rFonts w:cs="Arial"/>
        </w:rPr>
        <w:t>e and electricity revenue.  The</w:t>
      </w:r>
      <w:r w:rsidRPr="00BC0701">
        <w:rPr>
          <w:rFonts w:cs="Arial"/>
        </w:rPr>
        <w:t xml:space="preserve"> contractor can source additional waste to fill this capacity.  If the contractor supplies this waste they take a share of the gate fee revenue.  </w:t>
      </w:r>
    </w:p>
    <w:p w:rsidR="004F3EFC" w:rsidRPr="00BC0701" w:rsidRDefault="004F3EFC" w:rsidP="004F3EFC">
      <w:pPr>
        <w:rPr>
          <w:rFonts w:cs="Arial"/>
          <w:b/>
        </w:rPr>
      </w:pPr>
      <w:r w:rsidRPr="00BC0701">
        <w:rPr>
          <w:rFonts w:cs="Arial"/>
          <w:b/>
        </w:rPr>
        <w:t>Status</w:t>
      </w:r>
    </w:p>
    <w:p w:rsidR="004F3EFC" w:rsidRPr="00BC0701" w:rsidRDefault="004F3EFC" w:rsidP="004F3EFC">
      <w:pPr>
        <w:rPr>
          <w:rFonts w:cs="Arial"/>
        </w:rPr>
      </w:pPr>
      <w:r w:rsidRPr="00BC0701">
        <w:rPr>
          <w:rFonts w:cs="Arial"/>
        </w:rPr>
        <w:t>The saving in this measure i</w:t>
      </w:r>
      <w:r w:rsidR="00DA3085">
        <w:rPr>
          <w:rFonts w:cs="Arial"/>
        </w:rPr>
        <w:t>s calculated as approximately £0.54</w:t>
      </w:r>
      <w:r w:rsidRPr="00BC0701">
        <w:rPr>
          <w:rFonts w:cs="Arial"/>
        </w:rPr>
        <w:t>m pa depending on the delivery of 60kt of extra waste to fill the plant to the capacity of Band 2.</w:t>
      </w:r>
    </w:p>
    <w:p w:rsidR="004F3EFC" w:rsidRPr="00BC0701" w:rsidRDefault="004F3EFC" w:rsidP="004F3EFC">
      <w:pPr>
        <w:rPr>
          <w:rFonts w:cs="Arial"/>
          <w:b/>
        </w:rPr>
      </w:pPr>
      <w:r w:rsidRPr="00BC0701">
        <w:rPr>
          <w:rFonts w:cs="Arial"/>
          <w:b/>
        </w:rPr>
        <w:t>Assumptions</w:t>
      </w:r>
    </w:p>
    <w:p w:rsidR="004F3EFC" w:rsidRPr="00BC5D5A" w:rsidRDefault="004F3EFC" w:rsidP="008B5D7A">
      <w:pPr>
        <w:pStyle w:val="ListParagraph"/>
        <w:numPr>
          <w:ilvl w:val="0"/>
          <w:numId w:val="10"/>
        </w:numPr>
        <w:spacing w:after="200" w:line="276" w:lineRule="auto"/>
        <w:contextualSpacing/>
      </w:pPr>
      <w:r w:rsidRPr="00BC5D5A">
        <w:t>Available capacity 60,000tpa</w:t>
      </w:r>
    </w:p>
    <w:p w:rsidR="004F3EFC" w:rsidRPr="00BC5D5A" w:rsidRDefault="00DA3085" w:rsidP="008B5D7A">
      <w:pPr>
        <w:pStyle w:val="ListParagraph"/>
        <w:numPr>
          <w:ilvl w:val="0"/>
          <w:numId w:val="10"/>
        </w:numPr>
        <w:spacing w:after="200" w:line="276" w:lineRule="auto"/>
        <w:contextualSpacing/>
        <w:rPr>
          <w:b/>
        </w:rPr>
      </w:pPr>
      <w:r>
        <w:t>Market price £85</w:t>
      </w:r>
      <w:r w:rsidR="004F3EFC" w:rsidRPr="00BC5D5A">
        <w:t>/t</w:t>
      </w:r>
    </w:p>
    <w:p w:rsidR="004F3EFC" w:rsidRPr="00BC5D5A" w:rsidRDefault="004F3EFC" w:rsidP="008B5D7A">
      <w:pPr>
        <w:pStyle w:val="ListParagraph"/>
        <w:numPr>
          <w:ilvl w:val="0"/>
          <w:numId w:val="10"/>
        </w:numPr>
        <w:spacing w:after="200" w:line="276" w:lineRule="auto"/>
        <w:contextualSpacing/>
        <w:rPr>
          <w:b/>
        </w:rPr>
      </w:pPr>
      <w:r>
        <w:t>Electricity price of £45/</w:t>
      </w:r>
      <w:proofErr w:type="spellStart"/>
      <w:r>
        <w:t>MWh</w:t>
      </w:r>
      <w:proofErr w:type="spellEnd"/>
    </w:p>
    <w:p w:rsidR="004F3EFC" w:rsidRPr="00BC0701" w:rsidRDefault="004F3EFC" w:rsidP="004F3EFC">
      <w:pPr>
        <w:rPr>
          <w:rFonts w:cs="Arial"/>
          <w:b/>
        </w:rPr>
      </w:pPr>
      <w:r w:rsidRPr="00BC0701">
        <w:rPr>
          <w:rFonts w:cs="Arial"/>
          <w:b/>
        </w:rPr>
        <w:t>Key Considerations</w:t>
      </w:r>
    </w:p>
    <w:p w:rsidR="003215A1" w:rsidRPr="00BC0701" w:rsidRDefault="003215A1" w:rsidP="003215A1">
      <w:pPr>
        <w:rPr>
          <w:rFonts w:cs="Arial"/>
        </w:rPr>
      </w:pPr>
      <w:r>
        <w:rPr>
          <w:rFonts w:cs="Arial"/>
        </w:rPr>
        <w:t>T</w:t>
      </w:r>
      <w:r w:rsidRPr="00BC0701">
        <w:rPr>
          <w:rFonts w:cs="Arial"/>
        </w:rPr>
        <w:t>he contractor supplies the additional waste the benefit will be shared and they will receive a 20%</w:t>
      </w:r>
      <w:r>
        <w:rPr>
          <w:rFonts w:cs="Arial"/>
        </w:rPr>
        <w:t xml:space="preserve"> (possibly more depending on the banding)</w:t>
      </w:r>
      <w:r w:rsidRPr="00BC0701">
        <w:rPr>
          <w:rFonts w:cs="Arial"/>
        </w:rPr>
        <w:t xml:space="preserve"> of the excess revenue once costs are accounted for and this will </w:t>
      </w:r>
      <w:r>
        <w:rPr>
          <w:rFonts w:cs="Arial"/>
        </w:rPr>
        <w:t>have an</w:t>
      </w:r>
      <w:r w:rsidRPr="00BC0701">
        <w:rPr>
          <w:rFonts w:cs="Arial"/>
        </w:rPr>
        <w:t xml:space="preserve"> impact on the authority revenue</w:t>
      </w:r>
      <w:r>
        <w:rPr>
          <w:rFonts w:cs="Arial"/>
        </w:rPr>
        <w:t>.</w:t>
      </w:r>
    </w:p>
    <w:p w:rsidR="004F3EFC" w:rsidRPr="00BC0701" w:rsidRDefault="004F3EFC" w:rsidP="004F3EFC">
      <w:pPr>
        <w:rPr>
          <w:rFonts w:cs="Arial"/>
        </w:rPr>
      </w:pPr>
      <w:r w:rsidRPr="00BC0701">
        <w:rPr>
          <w:rFonts w:cs="Arial"/>
        </w:rPr>
        <w:lastRenderedPageBreak/>
        <w:t xml:space="preserve">If the contractor supplies the additional waste the benefit will be shared and they will receive a 20% of the excess revenue once costs are accounted for and this will significant impact on the authority </w:t>
      </w:r>
      <w:proofErr w:type="gramStart"/>
      <w:r w:rsidRPr="00BC0701">
        <w:rPr>
          <w:rFonts w:cs="Arial"/>
        </w:rPr>
        <w:t>revenue</w:t>
      </w:r>
      <w:proofErr w:type="gramEnd"/>
      <w:r>
        <w:rPr>
          <w:rFonts w:cs="Arial"/>
        </w:rPr>
        <w:t>.</w:t>
      </w:r>
    </w:p>
    <w:p w:rsidR="004F3EFC" w:rsidRPr="00BC0701" w:rsidRDefault="004F3EFC" w:rsidP="004F3EFC">
      <w:pPr>
        <w:pStyle w:val="Heading3"/>
      </w:pPr>
      <w:bookmarkStart w:id="31" w:name="_Toc345073980"/>
      <w:r w:rsidRPr="00BC0701">
        <w:t>Third party income sharing</w:t>
      </w:r>
      <w:bookmarkEnd w:id="31"/>
    </w:p>
    <w:p w:rsidR="004F3EFC" w:rsidRPr="00BC0701" w:rsidRDefault="004F3EFC" w:rsidP="004F3EFC">
      <w:pPr>
        <w:rPr>
          <w:rFonts w:cs="Arial"/>
        </w:rPr>
      </w:pPr>
      <w:r w:rsidRPr="00BC0701">
        <w:rPr>
          <w:rFonts w:cs="Arial"/>
        </w:rPr>
        <w:t xml:space="preserve">There are three sources of income identified in the Contract, third party waste gate fees, energy sales and recyclate income arising from materials extracted at the </w:t>
      </w:r>
      <w:proofErr w:type="spellStart"/>
      <w:r w:rsidRPr="00BC0701">
        <w:rPr>
          <w:rFonts w:cs="Arial"/>
        </w:rPr>
        <w:t>Huyton</w:t>
      </w:r>
      <w:proofErr w:type="spellEnd"/>
      <w:r w:rsidRPr="00BC0701">
        <w:rPr>
          <w:rFonts w:cs="Arial"/>
        </w:rPr>
        <w:t xml:space="preserve"> transfer station.  Third party income sharing occurs when the combined projected income from these sources exceeds the guaranteed income in the base case.  Where income is above these values this is shared equally with the authority, where below the contractor bears the loss in income.  The calculation is performed on the cumulative contract values so that where income has been below the guaranteed value in previous years this has to be caught up before the excess income is shared.  This protects the Authority from low electricity prices or the failure to attract 3</w:t>
      </w:r>
      <w:r w:rsidRPr="00BC0701">
        <w:rPr>
          <w:rFonts w:cs="Arial"/>
          <w:vertAlign w:val="superscript"/>
        </w:rPr>
        <w:t>rd</w:t>
      </w:r>
      <w:r w:rsidRPr="00BC0701">
        <w:rPr>
          <w:rFonts w:cs="Arial"/>
        </w:rPr>
        <w:t xml:space="preserve"> party waste.</w:t>
      </w:r>
    </w:p>
    <w:p w:rsidR="004F3EFC" w:rsidRPr="00BC0701" w:rsidRDefault="004F3EFC" w:rsidP="004F3EFC">
      <w:pPr>
        <w:rPr>
          <w:rFonts w:cs="Arial"/>
          <w:b/>
        </w:rPr>
      </w:pPr>
      <w:r w:rsidRPr="00BC0701">
        <w:rPr>
          <w:rFonts w:cs="Arial"/>
          <w:b/>
        </w:rPr>
        <w:t>Power sales</w:t>
      </w:r>
    </w:p>
    <w:p w:rsidR="004F3EFC" w:rsidRPr="00BC0701" w:rsidRDefault="004F3EFC" w:rsidP="004F3EFC">
      <w:pPr>
        <w:rPr>
          <w:rFonts w:cs="Arial"/>
        </w:rPr>
      </w:pPr>
      <w:r w:rsidRPr="00BC0701">
        <w:rPr>
          <w:rFonts w:cs="Arial"/>
        </w:rPr>
        <w:t xml:space="preserve">One potential that may need to be explored is the direct purchase of power from the plant for the LCR authorities via a direct wire or </w:t>
      </w:r>
      <w:proofErr w:type="spellStart"/>
      <w:r w:rsidRPr="00BC0701">
        <w:rPr>
          <w:rFonts w:cs="Arial"/>
        </w:rPr>
        <w:t>sleeving</w:t>
      </w:r>
      <w:proofErr w:type="spellEnd"/>
      <w:r w:rsidRPr="00BC0701">
        <w:rPr>
          <w:rFonts w:cs="Arial"/>
        </w:rPr>
        <w:t xml:space="preserve"> arrangement.  In other projects this can be attractive due to the quantities of power and the lower costs of </w:t>
      </w:r>
      <w:proofErr w:type="gramStart"/>
      <w:r w:rsidRPr="00BC0701">
        <w:rPr>
          <w:rFonts w:cs="Arial"/>
        </w:rPr>
        <w:t>transmission</w:t>
      </w:r>
      <w:proofErr w:type="gramEnd"/>
      <w:r w:rsidRPr="00BC0701">
        <w:rPr>
          <w:rFonts w:cs="Arial"/>
        </w:rPr>
        <w:t xml:space="preserve"> as the project is local to the user.  This type of arrangement has potential benefits in that it provides a natural hedging to the authority’s power purchasing giving long term cost certainty rather than being subject to general market movements.  In addition, it can also provide lower costs as a layer of margin and administrative costs are removed from the power purchase structure.</w:t>
      </w:r>
    </w:p>
    <w:p w:rsidR="004F3EFC" w:rsidRDefault="004F3EFC" w:rsidP="004F3EFC">
      <w:pPr>
        <w:rPr>
          <w:rFonts w:cs="Arial"/>
        </w:rPr>
      </w:pPr>
      <w:r w:rsidRPr="00BC0701">
        <w:rPr>
          <w:rFonts w:cs="Arial"/>
        </w:rPr>
        <w:t xml:space="preserve">In this project, the </w:t>
      </w:r>
      <w:proofErr w:type="gramStart"/>
      <w:r w:rsidRPr="00BC0701">
        <w:rPr>
          <w:rFonts w:cs="Arial"/>
        </w:rPr>
        <w:t xml:space="preserve">power is largely taken up by the </w:t>
      </w:r>
      <w:proofErr w:type="spellStart"/>
      <w:r w:rsidRPr="00BC0701">
        <w:rPr>
          <w:rFonts w:cs="Arial"/>
        </w:rPr>
        <w:t>Sembcorp</w:t>
      </w:r>
      <w:proofErr w:type="spellEnd"/>
      <w:r w:rsidRPr="00BC0701">
        <w:rPr>
          <w:rFonts w:cs="Arial"/>
        </w:rPr>
        <w:t xml:space="preserve"> site</w:t>
      </w:r>
      <w:proofErr w:type="gramEnd"/>
      <w:r w:rsidRPr="00BC0701">
        <w:rPr>
          <w:rFonts w:cs="Arial"/>
        </w:rPr>
        <w:t xml:space="preserve"> and thus only a small amount of excess power is available for sale back to Merseyside and also there would be higher costs due to the transmission losses over the distance that would have to be accounted for.  Thus it is not considered likely that any benefits can be gained from a direct power purchase arrangement.</w:t>
      </w:r>
    </w:p>
    <w:p w:rsidR="004F3EFC" w:rsidRPr="00BC0701" w:rsidRDefault="004F3EFC" w:rsidP="004F3EFC">
      <w:pPr>
        <w:rPr>
          <w:rFonts w:cs="Arial"/>
        </w:rPr>
      </w:pPr>
      <w:r>
        <w:rPr>
          <w:rFonts w:cs="Arial"/>
        </w:rPr>
        <w:t>Consequently there are no opportunities to make savings in these areas.</w:t>
      </w:r>
    </w:p>
    <w:p w:rsidR="004F3EFC" w:rsidRPr="00BC0701" w:rsidRDefault="004F3EFC" w:rsidP="004F3EFC">
      <w:pPr>
        <w:pStyle w:val="Heading3"/>
      </w:pPr>
      <w:bookmarkStart w:id="32" w:name="_Toc345073981"/>
      <w:r w:rsidRPr="00BC0701">
        <w:t>Insurance</w:t>
      </w:r>
      <w:bookmarkEnd w:id="32"/>
    </w:p>
    <w:p w:rsidR="004F3EFC" w:rsidRPr="00BC0701" w:rsidRDefault="004F3EFC" w:rsidP="004F3EFC">
      <w:pPr>
        <w:rPr>
          <w:rFonts w:cs="Arial"/>
        </w:rPr>
      </w:pPr>
      <w:r w:rsidRPr="00BC0701">
        <w:rPr>
          <w:rFonts w:cs="Arial"/>
        </w:rPr>
        <w:t>The contract drafting for insuran</w:t>
      </w:r>
      <w:r>
        <w:rPr>
          <w:rFonts w:cs="Arial"/>
        </w:rPr>
        <w:t>ce follows</w:t>
      </w:r>
      <w:r w:rsidRPr="00BC0701">
        <w:rPr>
          <w:rFonts w:cs="Arial"/>
        </w:rPr>
        <w:t xml:space="preserve"> WIDP standard drafting fairly closely</w:t>
      </w:r>
      <w:r>
        <w:rPr>
          <w:rFonts w:cs="Arial"/>
        </w:rPr>
        <w:t>, t</w:t>
      </w:r>
      <w:r w:rsidRPr="00BC0701">
        <w:rPr>
          <w:rFonts w:cs="Arial"/>
        </w:rPr>
        <w:t xml:space="preserve">his </w:t>
      </w:r>
      <w:r>
        <w:rPr>
          <w:rFonts w:cs="Arial"/>
        </w:rPr>
        <w:t>means it has w well established risk sharing mechanism for changes in premiums</w:t>
      </w:r>
      <w:r w:rsidRPr="00BC0701">
        <w:rPr>
          <w:rFonts w:cs="Arial"/>
        </w:rPr>
        <w:t xml:space="preserve">.  The principle is that the authority are responsibility for large scale (± 30%) general industry </w:t>
      </w:r>
      <w:r>
        <w:rPr>
          <w:rFonts w:cs="Arial"/>
        </w:rPr>
        <w:t>price</w:t>
      </w:r>
      <w:r w:rsidRPr="00BC0701">
        <w:rPr>
          <w:rFonts w:cs="Arial"/>
        </w:rPr>
        <w:t xml:space="preserve"> changes</w:t>
      </w:r>
      <w:r>
        <w:rPr>
          <w:rFonts w:cs="Arial"/>
        </w:rPr>
        <w:t xml:space="preserve"> to premiums</w:t>
      </w:r>
      <w:r w:rsidRPr="00BC0701">
        <w:rPr>
          <w:rFonts w:cs="Arial"/>
        </w:rPr>
        <w:t xml:space="preserve"> </w:t>
      </w:r>
      <w:r>
        <w:rPr>
          <w:rFonts w:cs="Arial"/>
        </w:rPr>
        <w:t>whilst the</w:t>
      </w:r>
      <w:r w:rsidRPr="00BC0701">
        <w:rPr>
          <w:rFonts w:cs="Arial"/>
        </w:rPr>
        <w:t xml:space="preserve"> contractor </w:t>
      </w:r>
      <w:r>
        <w:rPr>
          <w:rFonts w:cs="Arial"/>
        </w:rPr>
        <w:t>is</w:t>
      </w:r>
      <w:r w:rsidRPr="00BC0701">
        <w:rPr>
          <w:rFonts w:cs="Arial"/>
        </w:rPr>
        <w:t xml:space="preserve"> responsible</w:t>
      </w:r>
      <w:r>
        <w:rPr>
          <w:rFonts w:cs="Arial"/>
        </w:rPr>
        <w:t xml:space="preserve"> for all other premium</w:t>
      </w:r>
      <w:r w:rsidRPr="00BC0701">
        <w:rPr>
          <w:rFonts w:cs="Arial"/>
        </w:rPr>
        <w:t xml:space="preserve"> price changes, which includes site and waste industry specific factors referred to as Project Insurance Changes (PIC).</w:t>
      </w:r>
    </w:p>
    <w:p w:rsidR="004F3EFC" w:rsidRPr="00BC0701" w:rsidRDefault="004F3EFC" w:rsidP="004F3EFC">
      <w:pPr>
        <w:autoSpaceDE w:val="0"/>
        <w:autoSpaceDN w:val="0"/>
        <w:adjustRightInd w:val="0"/>
        <w:rPr>
          <w:rFonts w:cs="Arial"/>
        </w:rPr>
      </w:pPr>
      <w:r w:rsidRPr="00BC0701">
        <w:rPr>
          <w:rFonts w:cs="Arial"/>
        </w:rPr>
        <w:t xml:space="preserve">At this stage there is no saving to be had but once the </w:t>
      </w:r>
      <w:r>
        <w:rPr>
          <w:rFonts w:cs="Arial"/>
        </w:rPr>
        <w:t>Joint Insurance Cost R</w:t>
      </w:r>
      <w:r w:rsidRPr="00BC0701">
        <w:rPr>
          <w:rFonts w:cs="Arial"/>
        </w:rPr>
        <w:t xml:space="preserve">eview report is issued it is worthwhile ensuring that these principles are </w:t>
      </w:r>
      <w:r>
        <w:rPr>
          <w:rFonts w:cs="Arial"/>
        </w:rPr>
        <w:t>carefully checked</w:t>
      </w:r>
      <w:r w:rsidRPr="00BC0701">
        <w:rPr>
          <w:rFonts w:cs="Arial"/>
        </w:rPr>
        <w:t xml:space="preserve"> as the broker assessments in other projects have generally failed to adequately sep</w:t>
      </w:r>
      <w:r>
        <w:rPr>
          <w:rFonts w:cs="Arial"/>
        </w:rPr>
        <w:t>arate the cost changes in premiums</w:t>
      </w:r>
      <w:r w:rsidRPr="00BC0701">
        <w:rPr>
          <w:rFonts w:cs="Arial"/>
        </w:rPr>
        <w:t xml:space="preserve"> for the project and the Relevant Insurance Market (PPP and power and engineering)</w:t>
      </w:r>
      <w:r>
        <w:rPr>
          <w:rFonts w:cs="Arial"/>
        </w:rPr>
        <w:t>.</w:t>
      </w:r>
      <w:r w:rsidRPr="00BC0701">
        <w:rPr>
          <w:rFonts w:cs="Arial"/>
        </w:rPr>
        <w:t xml:space="preserve"> </w:t>
      </w:r>
      <w:r>
        <w:rPr>
          <w:rFonts w:cs="Arial"/>
        </w:rPr>
        <w:t>This has led in some instances to authorities paying too when premiums rise much or receiving too little when they fall</w:t>
      </w:r>
      <w:r w:rsidRPr="00BC0701">
        <w:rPr>
          <w:rFonts w:cs="Arial"/>
        </w:rPr>
        <w:t>.</w:t>
      </w:r>
    </w:p>
    <w:p w:rsidR="004F3EFC" w:rsidRPr="00BC0701" w:rsidRDefault="004F3EFC" w:rsidP="008B5D7A">
      <w:pPr>
        <w:pStyle w:val="Heading2"/>
        <w:keepLines w:val="0"/>
        <w:numPr>
          <w:ilvl w:val="1"/>
          <w:numId w:val="6"/>
        </w:numPr>
        <w:spacing w:before="240" w:after="60" w:line="276" w:lineRule="auto"/>
        <w:sectPr w:rsidR="004F3EFC" w:rsidRPr="00BC0701">
          <w:pgSz w:w="11906" w:h="16838"/>
          <w:pgMar w:top="1440" w:right="1440" w:bottom="1440" w:left="1440" w:header="708" w:footer="708" w:gutter="0"/>
          <w:cols w:space="708"/>
          <w:docGrid w:linePitch="360"/>
        </w:sectPr>
      </w:pPr>
    </w:p>
    <w:p w:rsidR="004F3EFC" w:rsidRPr="00BC0701" w:rsidRDefault="004F3EFC" w:rsidP="008B5D7A">
      <w:pPr>
        <w:pStyle w:val="Heading1"/>
        <w:keepLines w:val="0"/>
        <w:pageBreakBefore w:val="0"/>
        <w:numPr>
          <w:ilvl w:val="0"/>
          <w:numId w:val="6"/>
        </w:numPr>
        <w:spacing w:before="240" w:after="60" w:line="276" w:lineRule="auto"/>
      </w:pPr>
      <w:bookmarkStart w:id="33" w:name="_Toc345073631"/>
      <w:bookmarkStart w:id="34" w:name="_Toc345073982"/>
      <w:r w:rsidRPr="00BC0701">
        <w:lastRenderedPageBreak/>
        <w:t>Summary of savings opportunities explored</w:t>
      </w:r>
      <w:bookmarkEnd w:id="33"/>
      <w:bookmarkEnd w:id="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2270"/>
        <w:gridCol w:w="5727"/>
        <w:gridCol w:w="3836"/>
      </w:tblGrid>
      <w:tr w:rsidR="004F3EFC" w:rsidRPr="00BC0701" w:rsidTr="004F3EFC">
        <w:tc>
          <w:tcPr>
            <w:tcW w:w="0" w:type="auto"/>
            <w:shd w:val="clear" w:color="auto" w:fill="BFBFBF"/>
          </w:tcPr>
          <w:p w:rsidR="004F3EFC" w:rsidRPr="00BC0701" w:rsidRDefault="004F3EFC" w:rsidP="004F3EFC">
            <w:pPr>
              <w:jc w:val="both"/>
              <w:rPr>
                <w:rFonts w:eastAsia="MS Mincho" w:cs="Arial"/>
                <w:b/>
              </w:rPr>
            </w:pPr>
            <w:r w:rsidRPr="00BC0701">
              <w:rPr>
                <w:rFonts w:eastAsia="MS Mincho" w:cs="Arial"/>
                <w:b/>
              </w:rPr>
              <w:t>Savings opportunity</w:t>
            </w:r>
          </w:p>
        </w:tc>
        <w:tc>
          <w:tcPr>
            <w:tcW w:w="0" w:type="auto"/>
            <w:shd w:val="clear" w:color="auto" w:fill="BFBFBF"/>
          </w:tcPr>
          <w:p w:rsidR="004F3EFC" w:rsidRPr="00BC0701" w:rsidRDefault="004F3EFC" w:rsidP="004F3EFC">
            <w:pPr>
              <w:jc w:val="both"/>
              <w:rPr>
                <w:rFonts w:eastAsia="MS Mincho" w:cs="Arial"/>
                <w:b/>
              </w:rPr>
            </w:pPr>
            <w:r w:rsidRPr="00BC0701">
              <w:rPr>
                <w:rFonts w:eastAsia="MS Mincho" w:cs="Arial"/>
                <w:b/>
              </w:rPr>
              <w:t>Value</w:t>
            </w:r>
          </w:p>
        </w:tc>
        <w:tc>
          <w:tcPr>
            <w:tcW w:w="0" w:type="auto"/>
            <w:shd w:val="clear" w:color="auto" w:fill="BFBFBF"/>
          </w:tcPr>
          <w:p w:rsidR="004F3EFC" w:rsidRPr="00BC0701" w:rsidRDefault="004F3EFC" w:rsidP="004F3EFC">
            <w:pPr>
              <w:jc w:val="both"/>
              <w:rPr>
                <w:rFonts w:eastAsia="MS Mincho" w:cs="Arial"/>
                <w:b/>
              </w:rPr>
            </w:pPr>
            <w:r w:rsidRPr="00BC0701">
              <w:rPr>
                <w:rFonts w:eastAsia="MS Mincho" w:cs="Arial"/>
                <w:b/>
              </w:rPr>
              <w:t>Issues</w:t>
            </w:r>
          </w:p>
        </w:tc>
        <w:tc>
          <w:tcPr>
            <w:tcW w:w="0" w:type="auto"/>
            <w:shd w:val="clear" w:color="auto" w:fill="BFBFBF"/>
          </w:tcPr>
          <w:p w:rsidR="004F3EFC" w:rsidRPr="00BC0701" w:rsidRDefault="004F3EFC" w:rsidP="004F3EFC">
            <w:pPr>
              <w:jc w:val="both"/>
              <w:rPr>
                <w:rFonts w:eastAsia="MS Mincho" w:cs="Arial"/>
                <w:b/>
              </w:rPr>
            </w:pPr>
            <w:r w:rsidRPr="00BC0701">
              <w:rPr>
                <w:rFonts w:eastAsia="MS Mincho" w:cs="Arial"/>
                <w:b/>
              </w:rPr>
              <w:t>Actions</w:t>
            </w:r>
          </w:p>
        </w:tc>
      </w:tr>
      <w:tr w:rsidR="004F3EFC" w:rsidRPr="00BC0701" w:rsidTr="004F3EFC">
        <w:tc>
          <w:tcPr>
            <w:tcW w:w="0" w:type="auto"/>
            <w:gridSpan w:val="4"/>
            <w:shd w:val="clear" w:color="auto" w:fill="auto"/>
          </w:tcPr>
          <w:p w:rsidR="004F3EFC" w:rsidRPr="00BC0701" w:rsidRDefault="004F3EFC" w:rsidP="004F3EFC">
            <w:pPr>
              <w:jc w:val="center"/>
              <w:rPr>
                <w:rFonts w:eastAsia="MS Mincho" w:cs="Arial"/>
                <w:b/>
              </w:rPr>
            </w:pPr>
            <w:r w:rsidRPr="00BC0701">
              <w:rPr>
                <w:rFonts w:eastAsia="MS Mincho" w:cs="Arial"/>
                <w:b/>
              </w:rPr>
              <w:t>Recycling contract</w:t>
            </w:r>
          </w:p>
        </w:tc>
      </w:tr>
      <w:tr w:rsidR="004F3EFC" w:rsidRPr="00BC0701" w:rsidTr="004F3EFC">
        <w:tc>
          <w:tcPr>
            <w:tcW w:w="0" w:type="auto"/>
            <w:shd w:val="clear" w:color="auto" w:fill="auto"/>
          </w:tcPr>
          <w:p w:rsidR="004F3EFC" w:rsidRPr="00BC0701" w:rsidRDefault="004F3EFC" w:rsidP="004F3EFC">
            <w:pPr>
              <w:jc w:val="both"/>
              <w:rPr>
                <w:rFonts w:eastAsia="MS Mincho" w:cs="Arial"/>
              </w:rPr>
            </w:pPr>
            <w:r w:rsidRPr="00BC0701">
              <w:rPr>
                <w:rFonts w:eastAsia="MS Mincho" w:cs="Arial"/>
              </w:rPr>
              <w:t>Change in law reserve</w:t>
            </w:r>
          </w:p>
        </w:tc>
        <w:tc>
          <w:tcPr>
            <w:tcW w:w="0" w:type="auto"/>
            <w:shd w:val="clear" w:color="auto" w:fill="auto"/>
          </w:tcPr>
          <w:p w:rsidR="004F3EFC" w:rsidRPr="00BC0701" w:rsidRDefault="004F3EFC" w:rsidP="004F3EFC">
            <w:pPr>
              <w:jc w:val="both"/>
              <w:rPr>
                <w:rFonts w:eastAsia="MS Mincho" w:cs="Arial"/>
              </w:rPr>
            </w:pPr>
            <w:r>
              <w:rPr>
                <w:rFonts w:eastAsia="MS Mincho" w:cs="Arial"/>
              </w:rPr>
              <w:t>Nil</w:t>
            </w:r>
          </w:p>
        </w:tc>
        <w:tc>
          <w:tcPr>
            <w:tcW w:w="0" w:type="auto"/>
            <w:shd w:val="clear" w:color="auto" w:fill="auto"/>
          </w:tcPr>
          <w:p w:rsidR="004F3EFC" w:rsidRPr="00BC0701" w:rsidRDefault="004F3EFC" w:rsidP="004F3EFC">
            <w:pPr>
              <w:jc w:val="both"/>
              <w:rPr>
                <w:rFonts w:eastAsia="MS Mincho" w:cs="Arial"/>
              </w:rPr>
            </w:pPr>
            <w:r>
              <w:rPr>
                <w:rFonts w:eastAsia="MS Mincho" w:cs="Arial"/>
              </w:rPr>
              <w:t>No savings</w:t>
            </w:r>
          </w:p>
        </w:tc>
        <w:tc>
          <w:tcPr>
            <w:tcW w:w="0" w:type="auto"/>
            <w:shd w:val="clear" w:color="auto" w:fill="auto"/>
          </w:tcPr>
          <w:p w:rsidR="004F3EFC" w:rsidRPr="00BC0701" w:rsidRDefault="004F3EFC" w:rsidP="004F3EFC">
            <w:pPr>
              <w:jc w:val="both"/>
              <w:rPr>
                <w:rFonts w:eastAsia="MS Mincho" w:cs="Arial"/>
              </w:rPr>
            </w:pPr>
            <w:r>
              <w:rPr>
                <w:rFonts w:eastAsia="MS Mincho" w:cs="Arial"/>
              </w:rPr>
              <w:t>None</w:t>
            </w:r>
          </w:p>
        </w:tc>
      </w:tr>
      <w:tr w:rsidR="004F3EFC" w:rsidRPr="00BC0701" w:rsidTr="004F3EFC">
        <w:tc>
          <w:tcPr>
            <w:tcW w:w="0" w:type="auto"/>
            <w:shd w:val="clear" w:color="auto" w:fill="auto"/>
          </w:tcPr>
          <w:p w:rsidR="004F3EFC" w:rsidRPr="00BC0701" w:rsidRDefault="004F3EFC" w:rsidP="004F3EFC">
            <w:pPr>
              <w:jc w:val="both"/>
              <w:rPr>
                <w:rFonts w:eastAsia="MS Mincho" w:cs="Arial"/>
              </w:rPr>
            </w:pPr>
            <w:r w:rsidRPr="00BC0701">
              <w:rPr>
                <w:rFonts w:eastAsia="MS Mincho" w:cs="Arial"/>
              </w:rPr>
              <w:t>Life cycle profile</w:t>
            </w:r>
          </w:p>
        </w:tc>
        <w:tc>
          <w:tcPr>
            <w:tcW w:w="0" w:type="auto"/>
            <w:shd w:val="clear" w:color="auto" w:fill="auto"/>
          </w:tcPr>
          <w:p w:rsidR="004F3EFC" w:rsidRPr="00BC0701" w:rsidRDefault="004F3EFC" w:rsidP="004F3EFC">
            <w:pPr>
              <w:jc w:val="both"/>
              <w:rPr>
                <w:rFonts w:eastAsia="MS Mincho" w:cs="Arial"/>
              </w:rPr>
            </w:pPr>
            <w:r w:rsidRPr="00BC0701">
              <w:rPr>
                <w:rFonts w:eastAsia="MS Mincho" w:cs="Arial"/>
              </w:rPr>
              <w:t>Nil</w:t>
            </w:r>
          </w:p>
        </w:tc>
        <w:tc>
          <w:tcPr>
            <w:tcW w:w="0" w:type="auto"/>
            <w:shd w:val="clear" w:color="auto" w:fill="auto"/>
          </w:tcPr>
          <w:p w:rsidR="004F3EFC" w:rsidRPr="00BC0701" w:rsidRDefault="004F3EFC" w:rsidP="004F3EFC">
            <w:pPr>
              <w:jc w:val="both"/>
              <w:rPr>
                <w:rFonts w:eastAsia="MS Mincho" w:cs="Arial"/>
              </w:rPr>
            </w:pPr>
            <w:r w:rsidRPr="00BC0701">
              <w:rPr>
                <w:rFonts w:eastAsia="MS Mincho" w:cs="Arial"/>
              </w:rPr>
              <w:t>No saving potential due to limited life of outstanding loans</w:t>
            </w:r>
          </w:p>
        </w:tc>
        <w:tc>
          <w:tcPr>
            <w:tcW w:w="0" w:type="auto"/>
            <w:shd w:val="clear" w:color="auto" w:fill="auto"/>
          </w:tcPr>
          <w:p w:rsidR="004F3EFC" w:rsidRPr="00BC0701" w:rsidRDefault="004F3EFC" w:rsidP="004F3EFC">
            <w:pPr>
              <w:jc w:val="both"/>
              <w:rPr>
                <w:rFonts w:eastAsia="MS Mincho" w:cs="Arial"/>
              </w:rPr>
            </w:pPr>
            <w:r>
              <w:rPr>
                <w:rFonts w:eastAsia="MS Mincho" w:cs="Arial"/>
              </w:rPr>
              <w:t>None</w:t>
            </w:r>
          </w:p>
        </w:tc>
      </w:tr>
      <w:tr w:rsidR="004F3EFC" w:rsidRPr="00BC0701" w:rsidTr="004F3EFC">
        <w:tc>
          <w:tcPr>
            <w:tcW w:w="0" w:type="auto"/>
            <w:shd w:val="clear" w:color="auto" w:fill="auto"/>
          </w:tcPr>
          <w:p w:rsidR="004F3EFC" w:rsidRPr="00BC0701" w:rsidRDefault="004F3EFC" w:rsidP="004F3EFC">
            <w:pPr>
              <w:jc w:val="both"/>
              <w:rPr>
                <w:rFonts w:eastAsia="MS Mincho" w:cs="Arial"/>
              </w:rPr>
            </w:pPr>
            <w:r w:rsidRPr="00BC0701">
              <w:rPr>
                <w:rFonts w:eastAsia="MS Mincho" w:cs="Arial"/>
              </w:rPr>
              <w:t>Refinancing/capital injection</w:t>
            </w:r>
          </w:p>
        </w:tc>
        <w:tc>
          <w:tcPr>
            <w:tcW w:w="0" w:type="auto"/>
            <w:shd w:val="clear" w:color="auto" w:fill="auto"/>
          </w:tcPr>
          <w:p w:rsidR="004F3EFC" w:rsidRPr="00BC0701" w:rsidRDefault="004F3EFC" w:rsidP="004F3EFC">
            <w:pPr>
              <w:jc w:val="both"/>
              <w:rPr>
                <w:rFonts w:eastAsia="MS Mincho" w:cs="Arial"/>
              </w:rPr>
            </w:pPr>
            <w:r w:rsidRPr="00BC0701">
              <w:rPr>
                <w:rFonts w:eastAsia="MS Mincho" w:cs="Arial"/>
              </w:rPr>
              <w:t>Nil to £2m</w:t>
            </w:r>
          </w:p>
        </w:tc>
        <w:tc>
          <w:tcPr>
            <w:tcW w:w="0" w:type="auto"/>
            <w:shd w:val="clear" w:color="auto" w:fill="auto"/>
          </w:tcPr>
          <w:p w:rsidR="004F3EFC" w:rsidRPr="00BC0701" w:rsidRDefault="004F3EFC" w:rsidP="004F3EFC">
            <w:pPr>
              <w:jc w:val="both"/>
              <w:rPr>
                <w:rFonts w:eastAsia="MS Mincho" w:cs="Arial"/>
              </w:rPr>
            </w:pPr>
            <w:r w:rsidRPr="00BC0701">
              <w:rPr>
                <w:rFonts w:eastAsia="MS Mincho" w:cs="Arial"/>
              </w:rPr>
              <w:t>Savings depends on the willingness of Veolia to give up the debt, which they have not been inclined to do in other contracts and the method of hedging this debt and the requirements to break swaps.</w:t>
            </w:r>
          </w:p>
        </w:tc>
        <w:tc>
          <w:tcPr>
            <w:tcW w:w="0" w:type="auto"/>
            <w:shd w:val="clear" w:color="auto" w:fill="auto"/>
          </w:tcPr>
          <w:p w:rsidR="004F3EFC" w:rsidRPr="00BC0701" w:rsidRDefault="004F3EFC" w:rsidP="004F3EFC">
            <w:pPr>
              <w:jc w:val="both"/>
              <w:rPr>
                <w:rFonts w:eastAsia="MS Mincho" w:cs="Arial"/>
              </w:rPr>
            </w:pPr>
            <w:r w:rsidRPr="00BC0701">
              <w:rPr>
                <w:rFonts w:eastAsia="MS Mincho" w:cs="Arial"/>
              </w:rPr>
              <w:t xml:space="preserve">Will require an invest to save of £16m of capital but worthy of </w:t>
            </w:r>
            <w:proofErr w:type="gramStart"/>
            <w:r w:rsidRPr="00BC0701">
              <w:rPr>
                <w:rFonts w:eastAsia="MS Mincho" w:cs="Arial"/>
              </w:rPr>
              <w:t>a</w:t>
            </w:r>
            <w:proofErr w:type="gramEnd"/>
            <w:r w:rsidRPr="00BC0701">
              <w:rPr>
                <w:rFonts w:eastAsia="MS Mincho" w:cs="Arial"/>
              </w:rPr>
              <w:t xml:space="preserve"> initial discussion with Veolia to assess their appetite.</w:t>
            </w:r>
          </w:p>
        </w:tc>
      </w:tr>
      <w:tr w:rsidR="004F3EFC" w:rsidRPr="00BC0701" w:rsidTr="004F3EFC">
        <w:tc>
          <w:tcPr>
            <w:tcW w:w="0" w:type="auto"/>
            <w:shd w:val="clear" w:color="auto" w:fill="auto"/>
          </w:tcPr>
          <w:p w:rsidR="004F3EFC" w:rsidRPr="00BC0701" w:rsidRDefault="004F3EFC" w:rsidP="004F3EFC">
            <w:pPr>
              <w:jc w:val="both"/>
              <w:rPr>
                <w:rFonts w:eastAsia="MS Mincho" w:cs="Arial"/>
              </w:rPr>
            </w:pPr>
            <w:r w:rsidRPr="00BC0701">
              <w:rPr>
                <w:rFonts w:eastAsia="MS Mincho" w:cs="Arial"/>
              </w:rPr>
              <w:t>Third part income sharing adjustment</w:t>
            </w:r>
          </w:p>
        </w:tc>
        <w:tc>
          <w:tcPr>
            <w:tcW w:w="0" w:type="auto"/>
            <w:shd w:val="clear" w:color="auto" w:fill="auto"/>
          </w:tcPr>
          <w:p w:rsidR="004F3EFC" w:rsidRPr="00BC0701" w:rsidRDefault="004F3EFC" w:rsidP="004F3EFC">
            <w:pPr>
              <w:jc w:val="both"/>
              <w:rPr>
                <w:rFonts w:eastAsia="MS Mincho" w:cs="Arial"/>
              </w:rPr>
            </w:pPr>
            <w:r w:rsidRPr="00BC0701">
              <w:rPr>
                <w:rFonts w:eastAsia="MS Mincho" w:cs="Arial"/>
              </w:rPr>
              <w:t>Impossible to estimate the savings available</w:t>
            </w:r>
          </w:p>
        </w:tc>
        <w:tc>
          <w:tcPr>
            <w:tcW w:w="0" w:type="auto"/>
            <w:shd w:val="clear" w:color="auto" w:fill="auto"/>
          </w:tcPr>
          <w:p w:rsidR="004F3EFC" w:rsidRPr="00BC0701" w:rsidRDefault="004F3EFC" w:rsidP="004F3EFC">
            <w:pPr>
              <w:jc w:val="both"/>
              <w:rPr>
                <w:rFonts w:eastAsia="MS Mincho" w:cs="Arial"/>
              </w:rPr>
            </w:pPr>
            <w:r w:rsidRPr="00BC0701">
              <w:rPr>
                <w:rFonts w:eastAsia="MS Mincho" w:cs="Arial"/>
              </w:rPr>
              <w:t>Exposes the authority to market downturn condition</w:t>
            </w:r>
          </w:p>
        </w:tc>
        <w:tc>
          <w:tcPr>
            <w:tcW w:w="0" w:type="auto"/>
            <w:shd w:val="clear" w:color="auto" w:fill="auto"/>
          </w:tcPr>
          <w:p w:rsidR="004F3EFC" w:rsidRPr="00BC0701" w:rsidRDefault="004F3EFC" w:rsidP="004F3EFC">
            <w:pPr>
              <w:jc w:val="both"/>
              <w:rPr>
                <w:rFonts w:eastAsia="MS Mincho" w:cs="Arial"/>
              </w:rPr>
            </w:pPr>
            <w:r w:rsidRPr="00BC0701">
              <w:rPr>
                <w:rFonts w:eastAsia="MS Mincho" w:cs="Arial"/>
              </w:rPr>
              <w:t>Not recommended</w:t>
            </w:r>
          </w:p>
        </w:tc>
      </w:tr>
      <w:tr w:rsidR="004F3EFC" w:rsidRPr="00BC0701" w:rsidTr="004F3EFC">
        <w:tc>
          <w:tcPr>
            <w:tcW w:w="0" w:type="auto"/>
            <w:shd w:val="clear" w:color="auto" w:fill="auto"/>
          </w:tcPr>
          <w:p w:rsidR="004F3EFC" w:rsidRPr="00BC0701" w:rsidRDefault="004F3EFC" w:rsidP="004F3EFC">
            <w:pPr>
              <w:jc w:val="both"/>
              <w:rPr>
                <w:rFonts w:eastAsia="MS Mincho" w:cs="Arial"/>
              </w:rPr>
            </w:pPr>
            <w:r w:rsidRPr="00BC0701">
              <w:rPr>
                <w:rFonts w:eastAsia="MS Mincho" w:cs="Arial"/>
              </w:rPr>
              <w:t>Payment terms</w:t>
            </w:r>
          </w:p>
        </w:tc>
        <w:tc>
          <w:tcPr>
            <w:tcW w:w="0" w:type="auto"/>
            <w:shd w:val="clear" w:color="auto" w:fill="auto"/>
          </w:tcPr>
          <w:p w:rsidR="004F3EFC" w:rsidRPr="00BC0701" w:rsidRDefault="004F3EFC" w:rsidP="004F3EFC">
            <w:pPr>
              <w:jc w:val="both"/>
              <w:rPr>
                <w:rFonts w:eastAsia="MS Mincho" w:cs="Arial"/>
              </w:rPr>
            </w:pPr>
            <w:r w:rsidRPr="00BC0701">
              <w:rPr>
                <w:rFonts w:eastAsia="MS Mincho" w:cs="Arial"/>
              </w:rPr>
              <w:t>&lt;£50k</w:t>
            </w:r>
          </w:p>
        </w:tc>
        <w:tc>
          <w:tcPr>
            <w:tcW w:w="0" w:type="auto"/>
            <w:shd w:val="clear" w:color="auto" w:fill="auto"/>
          </w:tcPr>
          <w:p w:rsidR="004F3EFC" w:rsidRPr="00BC0701" w:rsidRDefault="004F3EFC" w:rsidP="004F3EFC">
            <w:pPr>
              <w:jc w:val="both"/>
              <w:rPr>
                <w:rFonts w:eastAsia="MS Mincho" w:cs="Arial"/>
              </w:rPr>
            </w:pPr>
            <w:r w:rsidRPr="00BC0701">
              <w:rPr>
                <w:rFonts w:eastAsia="MS Mincho" w:cs="Arial"/>
              </w:rPr>
              <w:t>Some opportunities have already been explored and taken up.  Further cashflow improvements may have value, but overall benefit will be small</w:t>
            </w:r>
          </w:p>
        </w:tc>
        <w:tc>
          <w:tcPr>
            <w:tcW w:w="0" w:type="auto"/>
            <w:shd w:val="clear" w:color="auto" w:fill="auto"/>
          </w:tcPr>
          <w:p w:rsidR="004F3EFC" w:rsidRPr="00BC0701" w:rsidRDefault="004F3EFC" w:rsidP="004F3EFC">
            <w:pPr>
              <w:jc w:val="both"/>
              <w:rPr>
                <w:rFonts w:eastAsia="MS Mincho" w:cs="Arial"/>
              </w:rPr>
            </w:pPr>
            <w:r w:rsidRPr="00BC0701">
              <w:rPr>
                <w:rFonts w:eastAsia="MS Mincho" w:cs="Arial"/>
              </w:rPr>
              <w:t>Worthy of discussion with Veolia.</w:t>
            </w:r>
          </w:p>
        </w:tc>
      </w:tr>
      <w:tr w:rsidR="004F3EFC" w:rsidRPr="00BC0701" w:rsidTr="004F3EFC">
        <w:tc>
          <w:tcPr>
            <w:tcW w:w="0" w:type="auto"/>
            <w:shd w:val="clear" w:color="auto" w:fill="auto"/>
          </w:tcPr>
          <w:p w:rsidR="004F3EFC" w:rsidRPr="00BC0701" w:rsidRDefault="004F3EFC" w:rsidP="004F3EFC">
            <w:pPr>
              <w:jc w:val="both"/>
              <w:rPr>
                <w:rFonts w:eastAsia="MS Mincho" w:cs="Arial"/>
              </w:rPr>
            </w:pPr>
            <w:r w:rsidRPr="00BC0701">
              <w:rPr>
                <w:rFonts w:eastAsia="MS Mincho" w:cs="Arial"/>
              </w:rPr>
              <w:t>Contract term</w:t>
            </w:r>
          </w:p>
        </w:tc>
        <w:tc>
          <w:tcPr>
            <w:tcW w:w="0" w:type="auto"/>
            <w:shd w:val="clear" w:color="auto" w:fill="auto"/>
          </w:tcPr>
          <w:p w:rsidR="004F3EFC" w:rsidRPr="00BC0701" w:rsidRDefault="004F3EFC" w:rsidP="004F3EFC">
            <w:pPr>
              <w:jc w:val="both"/>
              <w:rPr>
                <w:rFonts w:eastAsia="MS Mincho" w:cs="Arial"/>
              </w:rPr>
            </w:pPr>
            <w:r w:rsidRPr="00BC0701">
              <w:rPr>
                <w:rFonts w:eastAsia="MS Mincho" w:cs="Arial"/>
              </w:rPr>
              <w:t>Unknown and only available from 2029</w:t>
            </w:r>
          </w:p>
        </w:tc>
        <w:tc>
          <w:tcPr>
            <w:tcW w:w="0" w:type="auto"/>
            <w:shd w:val="clear" w:color="auto" w:fill="auto"/>
          </w:tcPr>
          <w:p w:rsidR="004F3EFC" w:rsidRPr="00BC0701" w:rsidRDefault="004F3EFC" w:rsidP="004F3EFC">
            <w:pPr>
              <w:jc w:val="both"/>
              <w:rPr>
                <w:rFonts w:eastAsia="MS Mincho" w:cs="Arial"/>
              </w:rPr>
            </w:pPr>
            <w:r w:rsidRPr="00BC0701">
              <w:rPr>
                <w:rFonts w:eastAsia="MS Mincho" w:cs="Arial"/>
              </w:rPr>
              <w:t>Extending the current contract would lock in current prices to some extent.  As the capital is largely paid off there would be limited scope to offer savings now.</w:t>
            </w:r>
          </w:p>
          <w:p w:rsidR="004F3EFC" w:rsidRPr="00BC0701" w:rsidRDefault="004F3EFC" w:rsidP="004F3EFC">
            <w:pPr>
              <w:jc w:val="both"/>
              <w:rPr>
                <w:rFonts w:eastAsia="MS Mincho" w:cs="Arial"/>
              </w:rPr>
            </w:pPr>
            <w:r w:rsidRPr="00BC0701">
              <w:rPr>
                <w:rFonts w:eastAsia="MS Mincho" w:cs="Arial"/>
              </w:rPr>
              <w:t xml:space="preserve">Will remove the opportunity for competitive bid process to test prices </w:t>
            </w:r>
          </w:p>
        </w:tc>
        <w:tc>
          <w:tcPr>
            <w:tcW w:w="0" w:type="auto"/>
            <w:shd w:val="clear" w:color="auto" w:fill="auto"/>
          </w:tcPr>
          <w:p w:rsidR="004F3EFC" w:rsidRPr="00BC0701" w:rsidRDefault="004F3EFC" w:rsidP="004F3EFC">
            <w:pPr>
              <w:jc w:val="both"/>
              <w:rPr>
                <w:rFonts w:eastAsia="MS Mincho" w:cs="Arial"/>
              </w:rPr>
            </w:pPr>
            <w:r w:rsidRPr="00BC0701">
              <w:rPr>
                <w:rFonts w:eastAsia="MS Mincho" w:cs="Arial"/>
              </w:rPr>
              <w:t>Worth discussing with Veolia to assess their appetite and thus potential savings that they may offer.</w:t>
            </w:r>
          </w:p>
        </w:tc>
      </w:tr>
      <w:tr w:rsidR="004F3EFC" w:rsidRPr="00BC0701" w:rsidTr="004F3EFC">
        <w:tc>
          <w:tcPr>
            <w:tcW w:w="0" w:type="auto"/>
            <w:shd w:val="clear" w:color="auto" w:fill="auto"/>
          </w:tcPr>
          <w:p w:rsidR="004F3EFC" w:rsidRPr="00BC0701" w:rsidRDefault="004F3EFC" w:rsidP="004F3EFC">
            <w:pPr>
              <w:jc w:val="both"/>
              <w:rPr>
                <w:rFonts w:eastAsia="MS Mincho" w:cs="Arial"/>
              </w:rPr>
            </w:pPr>
            <w:r w:rsidRPr="00BC0701">
              <w:rPr>
                <w:rFonts w:eastAsia="MS Mincho" w:cs="Arial"/>
              </w:rPr>
              <w:t>Performance management framework</w:t>
            </w:r>
          </w:p>
        </w:tc>
        <w:tc>
          <w:tcPr>
            <w:tcW w:w="0" w:type="auto"/>
            <w:shd w:val="clear" w:color="auto" w:fill="auto"/>
          </w:tcPr>
          <w:p w:rsidR="004F3EFC" w:rsidRPr="00BC0701" w:rsidRDefault="004F3EFC" w:rsidP="004F3EFC">
            <w:pPr>
              <w:jc w:val="both"/>
              <w:rPr>
                <w:rFonts w:eastAsia="MS Mincho" w:cs="Arial"/>
              </w:rPr>
            </w:pPr>
            <w:r>
              <w:rPr>
                <w:rFonts w:eastAsia="MS Mincho" w:cs="Arial"/>
              </w:rPr>
              <w:t>Very l</w:t>
            </w:r>
            <w:r w:rsidRPr="00BC0701">
              <w:rPr>
                <w:rFonts w:eastAsia="MS Mincho" w:cs="Arial"/>
              </w:rPr>
              <w:t>imited</w:t>
            </w:r>
          </w:p>
        </w:tc>
        <w:tc>
          <w:tcPr>
            <w:tcW w:w="0" w:type="auto"/>
            <w:shd w:val="clear" w:color="auto" w:fill="auto"/>
          </w:tcPr>
          <w:p w:rsidR="004F3EFC" w:rsidRPr="00BC0701" w:rsidRDefault="004F3EFC" w:rsidP="004F3EFC">
            <w:pPr>
              <w:jc w:val="both"/>
              <w:rPr>
                <w:rFonts w:eastAsia="MS Mincho" w:cs="Arial"/>
              </w:rPr>
            </w:pPr>
            <w:r w:rsidRPr="00BC0701">
              <w:rPr>
                <w:rFonts w:eastAsia="MS Mincho" w:cs="Arial"/>
              </w:rPr>
              <w:t>Possible poor performance permitted.</w:t>
            </w:r>
          </w:p>
        </w:tc>
        <w:tc>
          <w:tcPr>
            <w:tcW w:w="0" w:type="auto"/>
            <w:shd w:val="clear" w:color="auto" w:fill="auto"/>
          </w:tcPr>
          <w:p w:rsidR="004F3EFC" w:rsidRPr="00BC0701" w:rsidRDefault="004F3EFC" w:rsidP="004F3EFC">
            <w:pPr>
              <w:jc w:val="both"/>
              <w:rPr>
                <w:rFonts w:eastAsia="MS Mincho" w:cs="Arial"/>
              </w:rPr>
            </w:pPr>
            <w:r w:rsidRPr="00BC0701">
              <w:rPr>
                <w:rFonts w:eastAsia="MS Mincho" w:cs="Arial"/>
              </w:rPr>
              <w:t>Requires a review of the KPIs so that redundant ones can be negotiated away</w:t>
            </w:r>
          </w:p>
        </w:tc>
      </w:tr>
      <w:tr w:rsidR="004F3EFC" w:rsidRPr="00BC0701" w:rsidTr="004F3EFC">
        <w:tc>
          <w:tcPr>
            <w:tcW w:w="0" w:type="auto"/>
            <w:shd w:val="clear" w:color="auto" w:fill="auto"/>
          </w:tcPr>
          <w:p w:rsidR="004F3EFC" w:rsidRPr="00BC0701" w:rsidRDefault="004F3EFC" w:rsidP="004F3EFC">
            <w:pPr>
              <w:jc w:val="both"/>
              <w:rPr>
                <w:rFonts w:eastAsia="MS Mincho" w:cs="Arial"/>
              </w:rPr>
            </w:pPr>
            <w:r w:rsidRPr="00BC0701">
              <w:rPr>
                <w:rFonts w:eastAsia="MS Mincho" w:cs="Arial"/>
              </w:rPr>
              <w:t>Insurance</w:t>
            </w:r>
          </w:p>
        </w:tc>
        <w:tc>
          <w:tcPr>
            <w:tcW w:w="0" w:type="auto"/>
            <w:shd w:val="clear" w:color="auto" w:fill="auto"/>
          </w:tcPr>
          <w:p w:rsidR="004F3EFC" w:rsidRPr="00BC0701" w:rsidRDefault="004F3EFC" w:rsidP="004F3EFC">
            <w:pPr>
              <w:jc w:val="both"/>
              <w:rPr>
                <w:rFonts w:eastAsia="MS Mincho" w:cs="Arial"/>
              </w:rPr>
            </w:pPr>
            <w:r w:rsidRPr="00BC0701">
              <w:rPr>
                <w:rFonts w:eastAsia="MS Mincho" w:cs="Arial"/>
              </w:rPr>
              <w:t>N/A</w:t>
            </w:r>
          </w:p>
        </w:tc>
        <w:tc>
          <w:tcPr>
            <w:tcW w:w="0" w:type="auto"/>
            <w:shd w:val="clear" w:color="auto" w:fill="auto"/>
          </w:tcPr>
          <w:p w:rsidR="004F3EFC" w:rsidRPr="00BC0701" w:rsidRDefault="004F3EFC" w:rsidP="004F3EFC">
            <w:pPr>
              <w:jc w:val="both"/>
              <w:rPr>
                <w:rFonts w:eastAsia="MS Mincho" w:cs="Arial"/>
              </w:rPr>
            </w:pPr>
          </w:p>
        </w:tc>
        <w:tc>
          <w:tcPr>
            <w:tcW w:w="0" w:type="auto"/>
            <w:shd w:val="clear" w:color="auto" w:fill="auto"/>
          </w:tcPr>
          <w:p w:rsidR="004F3EFC" w:rsidRPr="00BC0701" w:rsidRDefault="004F3EFC" w:rsidP="004F3EFC">
            <w:pPr>
              <w:jc w:val="both"/>
              <w:rPr>
                <w:rFonts w:eastAsia="MS Mincho" w:cs="Arial"/>
              </w:rPr>
            </w:pPr>
            <w:r w:rsidRPr="00BC0701">
              <w:rPr>
                <w:rFonts w:eastAsia="MS Mincho" w:cs="Arial"/>
              </w:rPr>
              <w:t>This risk sits with Veolia</w:t>
            </w:r>
          </w:p>
        </w:tc>
      </w:tr>
      <w:tr w:rsidR="004F3EFC" w:rsidRPr="00BC0701" w:rsidTr="004F3EFC">
        <w:tc>
          <w:tcPr>
            <w:tcW w:w="0" w:type="auto"/>
            <w:shd w:val="clear" w:color="auto" w:fill="auto"/>
          </w:tcPr>
          <w:p w:rsidR="004F3EFC" w:rsidRPr="00BC0701" w:rsidRDefault="004F3EFC" w:rsidP="004F3EFC">
            <w:pPr>
              <w:jc w:val="both"/>
              <w:rPr>
                <w:rFonts w:eastAsia="MS Mincho" w:cs="Arial"/>
              </w:rPr>
            </w:pPr>
            <w:r w:rsidRPr="00BC0701">
              <w:rPr>
                <w:rFonts w:eastAsia="MS Mincho" w:cs="Arial"/>
              </w:rPr>
              <w:t>MRF costs</w:t>
            </w:r>
          </w:p>
          <w:p w:rsidR="004F3EFC" w:rsidRPr="00BC0701" w:rsidRDefault="004F3EFC" w:rsidP="004F3EFC">
            <w:pPr>
              <w:jc w:val="both"/>
              <w:rPr>
                <w:rFonts w:eastAsia="MS Mincho" w:cs="Arial"/>
              </w:rPr>
            </w:pPr>
            <w:r w:rsidRPr="00BC0701">
              <w:rPr>
                <w:rFonts w:eastAsia="MS Mincho" w:cs="Arial"/>
              </w:rPr>
              <w:t>Polymer sorting</w:t>
            </w:r>
          </w:p>
        </w:tc>
        <w:tc>
          <w:tcPr>
            <w:tcW w:w="0" w:type="auto"/>
            <w:shd w:val="clear" w:color="auto" w:fill="auto"/>
          </w:tcPr>
          <w:p w:rsidR="004F3EFC" w:rsidRPr="00BC0701" w:rsidRDefault="004F3EFC" w:rsidP="004F3EFC">
            <w:pPr>
              <w:jc w:val="both"/>
              <w:rPr>
                <w:rFonts w:eastAsia="MS Mincho" w:cs="Arial"/>
              </w:rPr>
            </w:pPr>
            <w:r w:rsidRPr="00BC0701">
              <w:rPr>
                <w:rFonts w:eastAsia="MS Mincho" w:cs="Arial"/>
              </w:rPr>
              <w:t>£0k-£1.0m</w:t>
            </w:r>
          </w:p>
        </w:tc>
        <w:tc>
          <w:tcPr>
            <w:tcW w:w="0" w:type="auto"/>
            <w:shd w:val="clear" w:color="auto" w:fill="auto"/>
          </w:tcPr>
          <w:p w:rsidR="004F3EFC" w:rsidRPr="00BC0701" w:rsidRDefault="004F3EFC" w:rsidP="004F3EFC">
            <w:pPr>
              <w:jc w:val="both"/>
              <w:rPr>
                <w:rFonts w:eastAsia="MS Mincho" w:cs="Arial"/>
              </w:rPr>
            </w:pPr>
            <w:r w:rsidRPr="00BC0701">
              <w:rPr>
                <w:rFonts w:eastAsia="MS Mincho" w:cs="Arial"/>
              </w:rPr>
              <w:t>Will require some investment to upgrade sorting equipment.  Highly dependent on international plastic prices</w:t>
            </w:r>
          </w:p>
        </w:tc>
        <w:tc>
          <w:tcPr>
            <w:tcW w:w="0" w:type="auto"/>
            <w:shd w:val="clear" w:color="auto" w:fill="auto"/>
          </w:tcPr>
          <w:p w:rsidR="004F3EFC" w:rsidRPr="00BC0701" w:rsidRDefault="004F3EFC" w:rsidP="004F3EFC">
            <w:pPr>
              <w:jc w:val="both"/>
              <w:rPr>
                <w:rFonts w:eastAsia="MS Mincho" w:cs="Arial"/>
              </w:rPr>
            </w:pPr>
            <w:r w:rsidRPr="00BC0701">
              <w:rPr>
                <w:rFonts w:eastAsia="MS Mincho" w:cs="Arial"/>
              </w:rPr>
              <w:t>Worth a discussion with Veolia as to the technical capacity given changes in technology and the costs/value.</w:t>
            </w:r>
          </w:p>
        </w:tc>
      </w:tr>
      <w:tr w:rsidR="004F3EFC" w:rsidRPr="00BC0701" w:rsidTr="004F3EFC">
        <w:tc>
          <w:tcPr>
            <w:tcW w:w="0" w:type="auto"/>
            <w:shd w:val="clear" w:color="auto" w:fill="auto"/>
          </w:tcPr>
          <w:p w:rsidR="004F3EFC" w:rsidRPr="00BC0701" w:rsidRDefault="004F3EFC" w:rsidP="004F3EFC">
            <w:pPr>
              <w:jc w:val="both"/>
              <w:rPr>
                <w:rFonts w:eastAsia="MS Mincho" w:cs="Arial"/>
              </w:rPr>
            </w:pPr>
            <w:r w:rsidRPr="00BC0701">
              <w:rPr>
                <w:rFonts w:eastAsia="MS Mincho" w:cs="Arial"/>
              </w:rPr>
              <w:t>Additional capacity</w:t>
            </w:r>
          </w:p>
        </w:tc>
        <w:tc>
          <w:tcPr>
            <w:tcW w:w="0" w:type="auto"/>
            <w:shd w:val="clear" w:color="auto" w:fill="auto"/>
          </w:tcPr>
          <w:p w:rsidR="004F3EFC" w:rsidRPr="00BC0701" w:rsidRDefault="004F3EFC" w:rsidP="004F3EFC">
            <w:pPr>
              <w:jc w:val="both"/>
              <w:rPr>
                <w:rFonts w:eastAsia="MS Mincho" w:cs="Arial"/>
              </w:rPr>
            </w:pPr>
            <w:r w:rsidRPr="00BC0701">
              <w:rPr>
                <w:rFonts w:eastAsia="MS Mincho" w:cs="Arial"/>
              </w:rPr>
              <w:t>£500k-£1.5m</w:t>
            </w:r>
          </w:p>
        </w:tc>
        <w:tc>
          <w:tcPr>
            <w:tcW w:w="0" w:type="auto"/>
            <w:shd w:val="clear" w:color="auto" w:fill="auto"/>
          </w:tcPr>
          <w:p w:rsidR="004F3EFC" w:rsidRPr="00BC0701" w:rsidRDefault="004F3EFC" w:rsidP="004F3EFC">
            <w:pPr>
              <w:jc w:val="both"/>
              <w:rPr>
                <w:rFonts w:eastAsia="MS Mincho" w:cs="Arial"/>
              </w:rPr>
            </w:pPr>
            <w:r w:rsidRPr="00BC0701">
              <w:rPr>
                <w:rFonts w:eastAsia="MS Mincho" w:cs="Arial"/>
              </w:rPr>
              <w:t>Dependent on being able to source 3</w:t>
            </w:r>
            <w:r w:rsidRPr="00BC0701">
              <w:rPr>
                <w:rFonts w:eastAsia="MS Mincho" w:cs="Arial"/>
                <w:vertAlign w:val="superscript"/>
              </w:rPr>
              <w:t>rd</w:t>
            </w:r>
            <w:r w:rsidRPr="00BC0701">
              <w:rPr>
                <w:rFonts w:eastAsia="MS Mincho" w:cs="Arial"/>
              </w:rPr>
              <w:t xml:space="preserve"> party dry recyclates and the ultimate capacity of the plant</w:t>
            </w:r>
          </w:p>
        </w:tc>
        <w:tc>
          <w:tcPr>
            <w:tcW w:w="0" w:type="auto"/>
            <w:shd w:val="clear" w:color="auto" w:fill="auto"/>
          </w:tcPr>
          <w:p w:rsidR="004F3EFC" w:rsidRPr="00BC0701" w:rsidRDefault="004F3EFC" w:rsidP="004F3EFC">
            <w:pPr>
              <w:jc w:val="both"/>
              <w:rPr>
                <w:rFonts w:eastAsia="MS Mincho" w:cs="Arial"/>
              </w:rPr>
            </w:pPr>
            <w:r w:rsidRPr="00BC0701">
              <w:rPr>
                <w:rFonts w:eastAsia="MS Mincho" w:cs="Arial"/>
              </w:rPr>
              <w:t>Initiate discussion with Veolia to assess limit of capacity given space and maintenance requirements.</w:t>
            </w:r>
          </w:p>
        </w:tc>
      </w:tr>
      <w:tr w:rsidR="004F3EFC" w:rsidRPr="00BC0701" w:rsidTr="004F3EFC">
        <w:tc>
          <w:tcPr>
            <w:tcW w:w="0" w:type="auto"/>
            <w:shd w:val="clear" w:color="auto" w:fill="auto"/>
          </w:tcPr>
          <w:p w:rsidR="004F3EFC" w:rsidRPr="00BC0701" w:rsidRDefault="004F3EFC" w:rsidP="004F3EFC">
            <w:pPr>
              <w:jc w:val="both"/>
              <w:rPr>
                <w:rFonts w:eastAsia="MS Mincho" w:cs="Arial"/>
              </w:rPr>
            </w:pPr>
            <w:r w:rsidRPr="00BC0701">
              <w:rPr>
                <w:rFonts w:eastAsia="MS Mincho" w:cs="Arial"/>
              </w:rPr>
              <w:lastRenderedPageBreak/>
              <w:t>HWRC opening hours</w:t>
            </w:r>
          </w:p>
        </w:tc>
        <w:tc>
          <w:tcPr>
            <w:tcW w:w="0" w:type="auto"/>
            <w:shd w:val="clear" w:color="auto" w:fill="auto"/>
          </w:tcPr>
          <w:p w:rsidR="004F3EFC" w:rsidRPr="00BC0701" w:rsidRDefault="004F3EFC" w:rsidP="004F3EFC">
            <w:pPr>
              <w:jc w:val="both"/>
              <w:rPr>
                <w:rFonts w:eastAsia="MS Mincho" w:cs="Arial"/>
              </w:rPr>
            </w:pPr>
            <w:r w:rsidRPr="00BC0701">
              <w:rPr>
                <w:rFonts w:eastAsia="MS Mincho" w:cs="Arial"/>
              </w:rPr>
              <w:t>Up to £200k/pa</w:t>
            </w:r>
          </w:p>
        </w:tc>
        <w:tc>
          <w:tcPr>
            <w:tcW w:w="0" w:type="auto"/>
            <w:shd w:val="clear" w:color="auto" w:fill="auto"/>
          </w:tcPr>
          <w:p w:rsidR="004F3EFC" w:rsidRPr="00BC0701" w:rsidRDefault="004F3EFC" w:rsidP="004F3EFC">
            <w:pPr>
              <w:jc w:val="both"/>
              <w:rPr>
                <w:rFonts w:eastAsia="MS Mincho" w:cs="Arial"/>
              </w:rPr>
            </w:pPr>
            <w:r w:rsidRPr="00BC0701">
              <w:rPr>
                <w:rFonts w:eastAsia="MS Mincho" w:cs="Arial"/>
              </w:rPr>
              <w:t>Will require political support as decreasing service level is contentions</w:t>
            </w:r>
          </w:p>
        </w:tc>
        <w:tc>
          <w:tcPr>
            <w:tcW w:w="0" w:type="auto"/>
            <w:shd w:val="clear" w:color="auto" w:fill="auto"/>
          </w:tcPr>
          <w:p w:rsidR="004F3EFC" w:rsidRPr="00BC0701" w:rsidRDefault="004F3EFC" w:rsidP="004F3EFC">
            <w:pPr>
              <w:jc w:val="both"/>
              <w:rPr>
                <w:rFonts w:eastAsia="MS Mincho" w:cs="Arial"/>
              </w:rPr>
            </w:pPr>
            <w:r w:rsidRPr="00BC0701">
              <w:rPr>
                <w:rFonts w:eastAsia="MS Mincho" w:cs="Arial"/>
              </w:rPr>
              <w:t>Initiate soundings with stakeholders</w:t>
            </w:r>
          </w:p>
        </w:tc>
      </w:tr>
      <w:tr w:rsidR="004F3EFC" w:rsidRPr="00BC0701" w:rsidTr="004F3EFC">
        <w:tc>
          <w:tcPr>
            <w:tcW w:w="0" w:type="auto"/>
            <w:shd w:val="clear" w:color="auto" w:fill="auto"/>
          </w:tcPr>
          <w:p w:rsidR="004F3EFC" w:rsidRPr="00BC0701" w:rsidRDefault="004F3EFC" w:rsidP="004F3EFC">
            <w:pPr>
              <w:jc w:val="both"/>
              <w:rPr>
                <w:rFonts w:eastAsia="MS Mincho" w:cs="Arial"/>
              </w:rPr>
            </w:pPr>
            <w:r w:rsidRPr="00BC0701">
              <w:rPr>
                <w:rFonts w:eastAsia="MS Mincho" w:cs="Arial"/>
              </w:rPr>
              <w:t>HWRCs rationalisation</w:t>
            </w:r>
          </w:p>
        </w:tc>
        <w:tc>
          <w:tcPr>
            <w:tcW w:w="0" w:type="auto"/>
            <w:shd w:val="clear" w:color="auto" w:fill="auto"/>
          </w:tcPr>
          <w:p w:rsidR="004F3EFC" w:rsidRPr="00BC0701" w:rsidRDefault="004F3EFC" w:rsidP="004F3EFC">
            <w:pPr>
              <w:jc w:val="both"/>
              <w:rPr>
                <w:rFonts w:eastAsia="MS Mincho" w:cs="Arial"/>
              </w:rPr>
            </w:pPr>
            <w:r w:rsidRPr="00BC0701">
              <w:rPr>
                <w:rFonts w:eastAsia="MS Mincho" w:cs="Arial"/>
              </w:rPr>
              <w:t>£200k-£1m</w:t>
            </w:r>
          </w:p>
        </w:tc>
        <w:tc>
          <w:tcPr>
            <w:tcW w:w="0" w:type="auto"/>
            <w:shd w:val="clear" w:color="auto" w:fill="auto"/>
          </w:tcPr>
          <w:p w:rsidR="004F3EFC" w:rsidRPr="00BC0701" w:rsidRDefault="004F3EFC" w:rsidP="004F3EFC">
            <w:pPr>
              <w:jc w:val="both"/>
              <w:rPr>
                <w:rFonts w:eastAsia="MS Mincho" w:cs="Arial"/>
              </w:rPr>
            </w:pPr>
            <w:r w:rsidRPr="00BC0701">
              <w:rPr>
                <w:rFonts w:eastAsia="MS Mincho" w:cs="Arial"/>
              </w:rPr>
              <w:t>Will require political support as decreasing service level is contentions</w:t>
            </w:r>
          </w:p>
        </w:tc>
        <w:tc>
          <w:tcPr>
            <w:tcW w:w="0" w:type="auto"/>
            <w:shd w:val="clear" w:color="auto" w:fill="auto"/>
          </w:tcPr>
          <w:p w:rsidR="004F3EFC" w:rsidRPr="00BC0701" w:rsidRDefault="004F3EFC" w:rsidP="004F3EFC">
            <w:pPr>
              <w:jc w:val="both"/>
              <w:rPr>
                <w:rFonts w:eastAsia="MS Mincho" w:cs="Arial"/>
              </w:rPr>
            </w:pPr>
            <w:r w:rsidRPr="00BC0701">
              <w:rPr>
                <w:rFonts w:eastAsia="MS Mincho" w:cs="Arial"/>
              </w:rPr>
              <w:t>Initiate soundings with stakeholders</w:t>
            </w:r>
          </w:p>
        </w:tc>
      </w:tr>
      <w:tr w:rsidR="004F3EFC" w:rsidRPr="00BC0701" w:rsidTr="004F3EFC">
        <w:tc>
          <w:tcPr>
            <w:tcW w:w="0" w:type="auto"/>
            <w:shd w:val="clear" w:color="auto" w:fill="auto"/>
          </w:tcPr>
          <w:p w:rsidR="004F3EFC" w:rsidRPr="00BC0701" w:rsidRDefault="004F3EFC" w:rsidP="004F3EFC">
            <w:pPr>
              <w:jc w:val="both"/>
              <w:rPr>
                <w:rFonts w:eastAsia="MS Mincho" w:cs="Arial"/>
              </w:rPr>
            </w:pPr>
            <w:r w:rsidRPr="00BC0701">
              <w:rPr>
                <w:rFonts w:eastAsia="MS Mincho" w:cs="Arial"/>
              </w:rPr>
              <w:t>Controls on access</w:t>
            </w:r>
          </w:p>
        </w:tc>
        <w:tc>
          <w:tcPr>
            <w:tcW w:w="0" w:type="auto"/>
            <w:shd w:val="clear" w:color="auto" w:fill="auto"/>
          </w:tcPr>
          <w:p w:rsidR="004F3EFC" w:rsidRPr="00BC0701" w:rsidRDefault="004F3EFC" w:rsidP="004F3EFC">
            <w:pPr>
              <w:jc w:val="both"/>
              <w:rPr>
                <w:rFonts w:eastAsia="MS Mincho" w:cs="Arial"/>
              </w:rPr>
            </w:pPr>
            <w:r w:rsidRPr="00BC0701">
              <w:rPr>
                <w:rFonts w:eastAsia="MS Mincho" w:cs="Arial"/>
              </w:rPr>
              <w:t>Up to £300k</w:t>
            </w:r>
          </w:p>
        </w:tc>
        <w:tc>
          <w:tcPr>
            <w:tcW w:w="0" w:type="auto"/>
            <w:shd w:val="clear" w:color="auto" w:fill="auto"/>
          </w:tcPr>
          <w:p w:rsidR="004F3EFC" w:rsidRPr="00BC0701" w:rsidRDefault="004F3EFC" w:rsidP="004F3EFC">
            <w:pPr>
              <w:jc w:val="both"/>
              <w:rPr>
                <w:rFonts w:eastAsia="MS Mincho" w:cs="Arial"/>
              </w:rPr>
            </w:pPr>
            <w:r w:rsidRPr="00BC0701">
              <w:rPr>
                <w:rFonts w:eastAsia="MS Mincho" w:cs="Arial"/>
              </w:rPr>
              <w:t xml:space="preserve">Is a zero sum gain for the public purse as waste is household </w:t>
            </w:r>
            <w:proofErr w:type="gramStart"/>
            <w:r w:rsidRPr="00BC0701">
              <w:rPr>
                <w:rFonts w:eastAsia="MS Mincho" w:cs="Arial"/>
              </w:rPr>
              <w:t>waste.</w:t>
            </w:r>
            <w:proofErr w:type="gramEnd"/>
            <w:r w:rsidRPr="00BC0701">
              <w:rPr>
                <w:rFonts w:eastAsia="MS Mincho" w:cs="Arial"/>
              </w:rPr>
              <w:t xml:space="preserve">  May lead to “tit for tat” restrictions on neighbouring sites.</w:t>
            </w:r>
          </w:p>
        </w:tc>
        <w:tc>
          <w:tcPr>
            <w:tcW w:w="0" w:type="auto"/>
            <w:shd w:val="clear" w:color="auto" w:fill="auto"/>
          </w:tcPr>
          <w:p w:rsidR="004F3EFC" w:rsidRPr="00BC0701" w:rsidRDefault="004F3EFC" w:rsidP="004F3EFC">
            <w:pPr>
              <w:jc w:val="both"/>
              <w:rPr>
                <w:rFonts w:eastAsia="MS Mincho" w:cs="Arial"/>
              </w:rPr>
            </w:pPr>
            <w:r w:rsidRPr="00BC0701">
              <w:rPr>
                <w:rFonts w:eastAsia="MS Mincho" w:cs="Arial"/>
              </w:rPr>
              <w:t>Further assessment of external use and use of sites outside area by residents</w:t>
            </w:r>
          </w:p>
        </w:tc>
      </w:tr>
      <w:tr w:rsidR="004F3EFC" w:rsidRPr="00BC0701" w:rsidTr="004F3EFC">
        <w:tc>
          <w:tcPr>
            <w:tcW w:w="0" w:type="auto"/>
            <w:gridSpan w:val="4"/>
            <w:shd w:val="clear" w:color="auto" w:fill="auto"/>
          </w:tcPr>
          <w:p w:rsidR="004F3EFC" w:rsidRPr="00BC0701" w:rsidRDefault="004F3EFC" w:rsidP="004F3EFC">
            <w:pPr>
              <w:jc w:val="center"/>
              <w:rPr>
                <w:rFonts w:eastAsia="MS Mincho" w:cs="Arial"/>
                <w:b/>
              </w:rPr>
            </w:pPr>
            <w:r w:rsidRPr="00BC0701">
              <w:rPr>
                <w:rFonts w:eastAsia="MS Mincho" w:cs="Arial"/>
                <w:b/>
              </w:rPr>
              <w:t>Resource Recovery Contract</w:t>
            </w:r>
          </w:p>
        </w:tc>
      </w:tr>
      <w:tr w:rsidR="004F3EFC" w:rsidRPr="00BC0701" w:rsidTr="004F3EFC">
        <w:tc>
          <w:tcPr>
            <w:tcW w:w="0" w:type="auto"/>
            <w:shd w:val="clear" w:color="auto" w:fill="auto"/>
          </w:tcPr>
          <w:p w:rsidR="004F3EFC" w:rsidRPr="00BC0701" w:rsidRDefault="004F3EFC" w:rsidP="004F3EFC">
            <w:pPr>
              <w:jc w:val="both"/>
              <w:rPr>
                <w:rFonts w:eastAsia="MS Mincho" w:cs="Arial"/>
              </w:rPr>
            </w:pPr>
            <w:r w:rsidRPr="00BC0701">
              <w:rPr>
                <w:rFonts w:eastAsia="MS Mincho" w:cs="Arial"/>
              </w:rPr>
              <w:t>Change in law reserve</w:t>
            </w:r>
          </w:p>
        </w:tc>
        <w:tc>
          <w:tcPr>
            <w:tcW w:w="0" w:type="auto"/>
            <w:shd w:val="clear" w:color="auto" w:fill="auto"/>
          </w:tcPr>
          <w:p w:rsidR="004F3EFC" w:rsidRPr="00BC0701" w:rsidRDefault="004F3EFC" w:rsidP="004F3EFC">
            <w:pPr>
              <w:jc w:val="both"/>
              <w:rPr>
                <w:rFonts w:eastAsia="MS Mincho" w:cs="Arial"/>
              </w:rPr>
            </w:pPr>
            <w:r w:rsidRPr="00BC0701">
              <w:rPr>
                <w:rFonts w:eastAsia="MS Mincho" w:cs="Arial"/>
              </w:rPr>
              <w:t>£120k</w:t>
            </w:r>
          </w:p>
        </w:tc>
        <w:tc>
          <w:tcPr>
            <w:tcW w:w="0" w:type="auto"/>
            <w:shd w:val="clear" w:color="auto" w:fill="auto"/>
          </w:tcPr>
          <w:p w:rsidR="004F3EFC" w:rsidRPr="00BC0701" w:rsidRDefault="004F3EFC" w:rsidP="004F3EFC">
            <w:pPr>
              <w:jc w:val="both"/>
              <w:rPr>
                <w:rFonts w:eastAsia="MS Mincho" w:cs="Arial"/>
              </w:rPr>
            </w:pPr>
            <w:r w:rsidRPr="00BC0701">
              <w:rPr>
                <w:rFonts w:eastAsia="MS Mincho" w:cs="Arial"/>
              </w:rPr>
              <w:t xml:space="preserve">Authority would take on additional risk of regulatory change.  </w:t>
            </w:r>
          </w:p>
        </w:tc>
        <w:tc>
          <w:tcPr>
            <w:tcW w:w="0" w:type="auto"/>
            <w:shd w:val="clear" w:color="auto" w:fill="auto"/>
          </w:tcPr>
          <w:p w:rsidR="004F3EFC" w:rsidRPr="00BC0701" w:rsidRDefault="004F3EFC" w:rsidP="004F3EFC">
            <w:pPr>
              <w:jc w:val="both"/>
              <w:rPr>
                <w:rFonts w:eastAsia="MS Mincho" w:cs="Arial"/>
              </w:rPr>
            </w:pPr>
            <w:r>
              <w:rPr>
                <w:rFonts w:eastAsia="MS Mincho" w:cs="Arial"/>
              </w:rPr>
              <w:t>Investigate further</w:t>
            </w:r>
          </w:p>
        </w:tc>
      </w:tr>
      <w:tr w:rsidR="004F3EFC" w:rsidRPr="00BC0701" w:rsidTr="004F3EFC">
        <w:tc>
          <w:tcPr>
            <w:tcW w:w="0" w:type="auto"/>
            <w:shd w:val="clear" w:color="auto" w:fill="auto"/>
          </w:tcPr>
          <w:p w:rsidR="004F3EFC" w:rsidRPr="00BC0701" w:rsidRDefault="004F3EFC" w:rsidP="004F3EFC">
            <w:pPr>
              <w:jc w:val="both"/>
              <w:rPr>
                <w:rFonts w:eastAsia="MS Mincho" w:cs="Arial"/>
              </w:rPr>
            </w:pPr>
            <w:r w:rsidRPr="00BC0701">
              <w:rPr>
                <w:rFonts w:eastAsia="MS Mincho" w:cs="Arial"/>
              </w:rPr>
              <w:t>Lifecycle profile</w:t>
            </w:r>
          </w:p>
        </w:tc>
        <w:tc>
          <w:tcPr>
            <w:tcW w:w="0" w:type="auto"/>
            <w:shd w:val="clear" w:color="auto" w:fill="auto"/>
          </w:tcPr>
          <w:p w:rsidR="004F3EFC" w:rsidRPr="00BC0701" w:rsidRDefault="004F3EFC" w:rsidP="004F3EFC">
            <w:pPr>
              <w:jc w:val="both"/>
              <w:rPr>
                <w:rFonts w:eastAsia="MS Mincho" w:cs="Arial"/>
              </w:rPr>
            </w:pPr>
            <w:r>
              <w:rPr>
                <w:rFonts w:eastAsia="MS Mincho" w:cs="Arial"/>
              </w:rPr>
              <w:t>N</w:t>
            </w:r>
            <w:r w:rsidRPr="00BC0701">
              <w:rPr>
                <w:rFonts w:eastAsia="MS Mincho" w:cs="Arial"/>
              </w:rPr>
              <w:t>il</w:t>
            </w:r>
          </w:p>
        </w:tc>
        <w:tc>
          <w:tcPr>
            <w:tcW w:w="0" w:type="auto"/>
            <w:shd w:val="clear" w:color="auto" w:fill="auto"/>
          </w:tcPr>
          <w:p w:rsidR="004F3EFC" w:rsidRPr="00BC0701" w:rsidRDefault="004F3EFC" w:rsidP="004F3EFC">
            <w:pPr>
              <w:jc w:val="both"/>
              <w:rPr>
                <w:rFonts w:eastAsia="MS Mincho" w:cs="Arial"/>
              </w:rPr>
            </w:pPr>
            <w:r w:rsidRPr="00BC0701">
              <w:rPr>
                <w:rFonts w:eastAsia="MS Mincho" w:cs="Arial"/>
              </w:rPr>
              <w:t>Profile has been optimised whilst there may be options at the end of the contract, this is too far in the future to assess.</w:t>
            </w:r>
          </w:p>
        </w:tc>
        <w:tc>
          <w:tcPr>
            <w:tcW w:w="0" w:type="auto"/>
            <w:shd w:val="clear" w:color="auto" w:fill="auto"/>
          </w:tcPr>
          <w:p w:rsidR="004F3EFC" w:rsidRPr="00BC0701" w:rsidRDefault="004F3EFC" w:rsidP="004F3EFC">
            <w:pPr>
              <w:jc w:val="both"/>
              <w:rPr>
                <w:rFonts w:eastAsia="MS Mincho" w:cs="Arial"/>
              </w:rPr>
            </w:pPr>
            <w:r w:rsidRPr="00BC0701">
              <w:rPr>
                <w:rFonts w:eastAsia="MS Mincho" w:cs="Arial"/>
              </w:rPr>
              <w:t>No action</w:t>
            </w:r>
          </w:p>
        </w:tc>
      </w:tr>
      <w:tr w:rsidR="004F3EFC" w:rsidRPr="00BC0701" w:rsidTr="004F3EFC">
        <w:tc>
          <w:tcPr>
            <w:tcW w:w="0" w:type="auto"/>
            <w:shd w:val="clear" w:color="auto" w:fill="auto"/>
          </w:tcPr>
          <w:p w:rsidR="004F3EFC" w:rsidRPr="00BC0701" w:rsidRDefault="004F3EFC" w:rsidP="004F3EFC">
            <w:pPr>
              <w:jc w:val="both"/>
              <w:rPr>
                <w:rFonts w:eastAsia="MS Mincho" w:cs="Arial"/>
              </w:rPr>
            </w:pPr>
            <w:r w:rsidRPr="00BC0701">
              <w:rPr>
                <w:rFonts w:eastAsia="MS Mincho" w:cs="Arial"/>
              </w:rPr>
              <w:t>Refinancing/capital injection</w:t>
            </w:r>
          </w:p>
        </w:tc>
        <w:tc>
          <w:tcPr>
            <w:tcW w:w="0" w:type="auto"/>
            <w:shd w:val="clear" w:color="auto" w:fill="auto"/>
          </w:tcPr>
          <w:p w:rsidR="004F3EFC" w:rsidRPr="00BC0701" w:rsidRDefault="004F3EFC" w:rsidP="004F3EFC">
            <w:pPr>
              <w:jc w:val="both"/>
              <w:rPr>
                <w:rFonts w:eastAsia="MS Mincho" w:cs="Arial"/>
              </w:rPr>
            </w:pPr>
            <w:r w:rsidRPr="00BC0701">
              <w:rPr>
                <w:rFonts w:eastAsia="MS Mincho" w:cs="Arial"/>
              </w:rPr>
              <w:t>£1.5m pa</w:t>
            </w:r>
          </w:p>
        </w:tc>
        <w:tc>
          <w:tcPr>
            <w:tcW w:w="0" w:type="auto"/>
            <w:shd w:val="clear" w:color="auto" w:fill="auto"/>
          </w:tcPr>
          <w:p w:rsidR="004F3EFC" w:rsidRPr="00BC0701" w:rsidRDefault="004F3EFC" w:rsidP="004F3EFC">
            <w:pPr>
              <w:jc w:val="both"/>
              <w:rPr>
                <w:rFonts w:eastAsia="MS Mincho" w:cs="Arial"/>
              </w:rPr>
            </w:pPr>
            <w:r w:rsidRPr="00BC0701">
              <w:rPr>
                <w:rFonts w:eastAsia="MS Mincho" w:cs="Arial"/>
              </w:rPr>
              <w:t>Taking on £122m of debt with PWLB</w:t>
            </w:r>
          </w:p>
        </w:tc>
        <w:tc>
          <w:tcPr>
            <w:tcW w:w="0" w:type="auto"/>
            <w:shd w:val="clear" w:color="auto" w:fill="auto"/>
          </w:tcPr>
          <w:p w:rsidR="004F3EFC" w:rsidRPr="00BC0701" w:rsidRDefault="004F3EFC" w:rsidP="004F3EFC">
            <w:pPr>
              <w:jc w:val="both"/>
              <w:rPr>
                <w:rFonts w:eastAsia="MS Mincho" w:cs="Arial"/>
              </w:rPr>
            </w:pPr>
            <w:r w:rsidRPr="00BC0701">
              <w:rPr>
                <w:rFonts w:eastAsia="MS Mincho" w:cs="Arial"/>
              </w:rPr>
              <w:t>Worth investigation once full operation is achieved and all construction risks are full resolved.</w:t>
            </w:r>
          </w:p>
        </w:tc>
      </w:tr>
      <w:tr w:rsidR="004F3EFC" w:rsidRPr="00BC0701" w:rsidTr="004F3EFC">
        <w:tc>
          <w:tcPr>
            <w:tcW w:w="0" w:type="auto"/>
            <w:shd w:val="clear" w:color="auto" w:fill="auto"/>
          </w:tcPr>
          <w:p w:rsidR="004F3EFC" w:rsidRPr="00BC0701" w:rsidRDefault="004F3EFC" w:rsidP="004F3EFC">
            <w:pPr>
              <w:jc w:val="both"/>
              <w:rPr>
                <w:rFonts w:eastAsia="MS Mincho" w:cs="Arial"/>
              </w:rPr>
            </w:pPr>
            <w:r w:rsidRPr="00BC0701">
              <w:rPr>
                <w:rFonts w:eastAsia="MS Mincho" w:cs="Arial"/>
              </w:rPr>
              <w:t>Increased contract waste</w:t>
            </w:r>
          </w:p>
        </w:tc>
        <w:tc>
          <w:tcPr>
            <w:tcW w:w="0" w:type="auto"/>
            <w:shd w:val="clear" w:color="auto" w:fill="auto"/>
          </w:tcPr>
          <w:p w:rsidR="004F3EFC" w:rsidRPr="00BC0701" w:rsidRDefault="00647A70" w:rsidP="004F3EFC">
            <w:pPr>
              <w:jc w:val="both"/>
              <w:rPr>
                <w:rFonts w:eastAsia="MS Mincho" w:cs="Arial"/>
              </w:rPr>
            </w:pPr>
            <w:r w:rsidRPr="00BC0701">
              <w:rPr>
                <w:rFonts w:eastAsia="MS Mincho" w:cs="Arial"/>
              </w:rPr>
              <w:t>Depends on spare c</w:t>
            </w:r>
            <w:r>
              <w:rPr>
                <w:rFonts w:eastAsia="MS Mincho" w:cs="Arial"/>
              </w:rPr>
              <w:t>apacity but potentially up to £0.54</w:t>
            </w:r>
            <w:r w:rsidRPr="00BC0701">
              <w:rPr>
                <w:rFonts w:eastAsia="MS Mincho" w:cs="Arial"/>
              </w:rPr>
              <w:t>mpa</w:t>
            </w:r>
          </w:p>
        </w:tc>
        <w:tc>
          <w:tcPr>
            <w:tcW w:w="0" w:type="auto"/>
            <w:shd w:val="clear" w:color="auto" w:fill="auto"/>
          </w:tcPr>
          <w:p w:rsidR="004F3EFC" w:rsidRPr="00BC0701" w:rsidRDefault="004F3EFC" w:rsidP="00647A70">
            <w:pPr>
              <w:jc w:val="both"/>
              <w:rPr>
                <w:rFonts w:eastAsia="MS Mincho" w:cs="Arial"/>
              </w:rPr>
            </w:pPr>
            <w:r w:rsidRPr="00BC0701">
              <w:rPr>
                <w:rFonts w:eastAsia="MS Mincho" w:cs="Arial"/>
              </w:rPr>
              <w:t xml:space="preserve">Waste has to be sourced by </w:t>
            </w:r>
            <w:r w:rsidR="00647A70">
              <w:rPr>
                <w:rFonts w:eastAsia="MS Mincho" w:cs="Arial"/>
              </w:rPr>
              <w:t>contractor</w:t>
            </w:r>
          </w:p>
        </w:tc>
        <w:tc>
          <w:tcPr>
            <w:tcW w:w="0" w:type="auto"/>
            <w:shd w:val="clear" w:color="auto" w:fill="auto"/>
          </w:tcPr>
          <w:p w:rsidR="004F3EFC" w:rsidRPr="00BC0701" w:rsidRDefault="00647A70" w:rsidP="004F3EFC">
            <w:pPr>
              <w:jc w:val="both"/>
              <w:rPr>
                <w:rFonts w:eastAsia="MS Mincho" w:cs="Arial"/>
              </w:rPr>
            </w:pPr>
            <w:r w:rsidRPr="00BC0701">
              <w:rPr>
                <w:rFonts w:eastAsia="MS Mincho" w:cs="Arial"/>
              </w:rPr>
              <w:t>Investigate the forecast waste arisings and recycling levels so that the capacity available is known.</w:t>
            </w:r>
            <w:bookmarkStart w:id="35" w:name="_GoBack"/>
            <w:bookmarkEnd w:id="35"/>
          </w:p>
        </w:tc>
      </w:tr>
      <w:tr w:rsidR="004F3EFC" w:rsidRPr="00BC0701" w:rsidTr="004F3EFC">
        <w:tc>
          <w:tcPr>
            <w:tcW w:w="0" w:type="auto"/>
            <w:shd w:val="clear" w:color="auto" w:fill="auto"/>
          </w:tcPr>
          <w:p w:rsidR="004F3EFC" w:rsidRPr="00BC0701" w:rsidRDefault="004F3EFC" w:rsidP="004F3EFC">
            <w:pPr>
              <w:jc w:val="both"/>
              <w:rPr>
                <w:rFonts w:eastAsia="MS Mincho" w:cs="Arial"/>
              </w:rPr>
            </w:pPr>
            <w:r w:rsidRPr="00BC0701">
              <w:rPr>
                <w:rFonts w:eastAsia="MS Mincho" w:cs="Arial"/>
              </w:rPr>
              <w:t>3</w:t>
            </w:r>
            <w:r w:rsidRPr="00BC0701">
              <w:rPr>
                <w:rFonts w:eastAsia="MS Mincho" w:cs="Arial"/>
                <w:vertAlign w:val="superscript"/>
              </w:rPr>
              <w:t>rd</w:t>
            </w:r>
            <w:r w:rsidRPr="00BC0701">
              <w:rPr>
                <w:rFonts w:eastAsia="MS Mincho" w:cs="Arial"/>
              </w:rPr>
              <w:t xml:space="preserve"> party income share</w:t>
            </w:r>
          </w:p>
        </w:tc>
        <w:tc>
          <w:tcPr>
            <w:tcW w:w="0" w:type="auto"/>
            <w:shd w:val="clear" w:color="auto" w:fill="auto"/>
          </w:tcPr>
          <w:p w:rsidR="004F3EFC" w:rsidRPr="00BC0701" w:rsidRDefault="004F3EFC" w:rsidP="004F3EFC">
            <w:pPr>
              <w:jc w:val="both"/>
              <w:rPr>
                <w:rFonts w:eastAsia="MS Mincho" w:cs="Arial"/>
              </w:rPr>
            </w:pPr>
            <w:r w:rsidRPr="00BC0701">
              <w:rPr>
                <w:rFonts w:eastAsia="MS Mincho" w:cs="Arial"/>
              </w:rPr>
              <w:t>Nil</w:t>
            </w:r>
          </w:p>
        </w:tc>
        <w:tc>
          <w:tcPr>
            <w:tcW w:w="0" w:type="auto"/>
            <w:shd w:val="clear" w:color="auto" w:fill="auto"/>
          </w:tcPr>
          <w:p w:rsidR="004F3EFC" w:rsidRPr="00BC0701" w:rsidRDefault="004F3EFC" w:rsidP="004F3EFC">
            <w:pPr>
              <w:jc w:val="both"/>
              <w:rPr>
                <w:rFonts w:eastAsia="MS Mincho" w:cs="Arial"/>
              </w:rPr>
            </w:pPr>
            <w:r w:rsidRPr="00BC0701">
              <w:rPr>
                <w:rFonts w:eastAsia="MS Mincho" w:cs="Arial"/>
              </w:rPr>
              <w:t>Renegotiation of the 3</w:t>
            </w:r>
            <w:r w:rsidRPr="00BC0701">
              <w:rPr>
                <w:rFonts w:eastAsia="MS Mincho" w:cs="Arial"/>
                <w:vertAlign w:val="superscript"/>
              </w:rPr>
              <w:t>rd</w:t>
            </w:r>
            <w:r w:rsidRPr="00BC0701">
              <w:rPr>
                <w:rFonts w:eastAsia="MS Mincho" w:cs="Arial"/>
              </w:rPr>
              <w:t xml:space="preserve"> party income share to provide a greater proportion to MWRA would result in a reduced guaranteed income and therefore greater risk.</w:t>
            </w:r>
          </w:p>
        </w:tc>
        <w:tc>
          <w:tcPr>
            <w:tcW w:w="0" w:type="auto"/>
            <w:shd w:val="clear" w:color="auto" w:fill="auto"/>
          </w:tcPr>
          <w:p w:rsidR="004F3EFC" w:rsidRPr="00BC0701" w:rsidRDefault="004F3EFC" w:rsidP="004F3EFC">
            <w:pPr>
              <w:jc w:val="both"/>
              <w:rPr>
                <w:rFonts w:eastAsia="MS Mincho" w:cs="Arial"/>
              </w:rPr>
            </w:pPr>
            <w:r w:rsidRPr="00BC0701">
              <w:rPr>
                <w:rFonts w:eastAsia="MS Mincho" w:cs="Arial"/>
              </w:rPr>
              <w:t>Not recommended given current uncertainty in energy prices.</w:t>
            </w:r>
          </w:p>
        </w:tc>
      </w:tr>
      <w:tr w:rsidR="004F3EFC" w:rsidRPr="00BC0701" w:rsidTr="004F3EFC">
        <w:tc>
          <w:tcPr>
            <w:tcW w:w="0" w:type="auto"/>
            <w:shd w:val="clear" w:color="auto" w:fill="auto"/>
          </w:tcPr>
          <w:p w:rsidR="004F3EFC" w:rsidRPr="00BC0701" w:rsidRDefault="004F3EFC" w:rsidP="004F3EFC">
            <w:pPr>
              <w:jc w:val="both"/>
              <w:rPr>
                <w:rFonts w:eastAsia="MS Mincho" w:cs="Arial"/>
              </w:rPr>
            </w:pPr>
            <w:r w:rsidRPr="00BC0701">
              <w:rPr>
                <w:rFonts w:eastAsia="MS Mincho" w:cs="Arial"/>
              </w:rPr>
              <w:t>Insurance review</w:t>
            </w:r>
          </w:p>
        </w:tc>
        <w:tc>
          <w:tcPr>
            <w:tcW w:w="0" w:type="auto"/>
            <w:shd w:val="clear" w:color="auto" w:fill="auto"/>
          </w:tcPr>
          <w:p w:rsidR="004F3EFC" w:rsidRPr="00BC0701" w:rsidRDefault="004F3EFC" w:rsidP="004F3EFC">
            <w:pPr>
              <w:jc w:val="both"/>
              <w:rPr>
                <w:rFonts w:eastAsia="MS Mincho" w:cs="Arial"/>
              </w:rPr>
            </w:pPr>
            <w:r>
              <w:rPr>
                <w:rFonts w:eastAsia="MS Mincho" w:cs="Arial"/>
              </w:rPr>
              <w:t>N/A</w:t>
            </w:r>
          </w:p>
        </w:tc>
        <w:tc>
          <w:tcPr>
            <w:tcW w:w="0" w:type="auto"/>
            <w:shd w:val="clear" w:color="auto" w:fill="auto"/>
          </w:tcPr>
          <w:p w:rsidR="004F3EFC" w:rsidRPr="00BC0701" w:rsidRDefault="004F3EFC" w:rsidP="004F3EFC">
            <w:pPr>
              <w:jc w:val="both"/>
              <w:rPr>
                <w:rFonts w:eastAsia="MS Mincho" w:cs="Arial"/>
              </w:rPr>
            </w:pPr>
            <w:r w:rsidRPr="00BC0701">
              <w:rPr>
                <w:rFonts w:eastAsia="MS Mincho" w:cs="Arial"/>
              </w:rPr>
              <w:t>Essentially a precautionary measure to ensure that the insurance cost review is conducted correctly and that the savings (if any) are correctly allocated.</w:t>
            </w:r>
          </w:p>
        </w:tc>
        <w:tc>
          <w:tcPr>
            <w:tcW w:w="0" w:type="auto"/>
            <w:shd w:val="clear" w:color="auto" w:fill="auto"/>
          </w:tcPr>
          <w:p w:rsidR="004F3EFC" w:rsidRPr="00BC0701" w:rsidRDefault="004F3EFC" w:rsidP="004F3EFC">
            <w:pPr>
              <w:jc w:val="both"/>
              <w:rPr>
                <w:rFonts w:eastAsia="MS Mincho" w:cs="Arial"/>
              </w:rPr>
            </w:pPr>
            <w:r w:rsidRPr="00BC0701">
              <w:rPr>
                <w:rFonts w:eastAsia="MS Mincho" w:cs="Arial"/>
              </w:rPr>
              <w:t>Prepare data for insurance review prior to the due data for the review and ensure that specialist advice is secured.</w:t>
            </w:r>
          </w:p>
        </w:tc>
      </w:tr>
    </w:tbl>
    <w:p w:rsidR="004F3EFC" w:rsidRPr="00BC0701" w:rsidRDefault="004F3EFC" w:rsidP="004F3EFC">
      <w:pPr>
        <w:rPr>
          <w:rFonts w:cs="Arial"/>
        </w:rPr>
      </w:pPr>
    </w:p>
    <w:p w:rsidR="004F3EFC" w:rsidRPr="00BC0701" w:rsidRDefault="004F3EFC" w:rsidP="004F3EFC">
      <w:pPr>
        <w:rPr>
          <w:rFonts w:cs="Arial"/>
        </w:rPr>
        <w:sectPr w:rsidR="004F3EFC" w:rsidRPr="00BC0701" w:rsidSect="004F3EFC">
          <w:pgSz w:w="16838" w:h="11906" w:orient="landscape"/>
          <w:pgMar w:top="1440" w:right="1440" w:bottom="1440" w:left="1440" w:header="708" w:footer="708" w:gutter="0"/>
          <w:cols w:space="708"/>
          <w:docGrid w:linePitch="360"/>
        </w:sectPr>
      </w:pPr>
    </w:p>
    <w:p w:rsidR="004F3EFC" w:rsidRPr="00BC0701" w:rsidRDefault="004F3EFC" w:rsidP="004F3EFC">
      <w:pPr>
        <w:rPr>
          <w:rFonts w:cs="Arial"/>
        </w:rPr>
      </w:pPr>
    </w:p>
    <w:p w:rsidR="004F3EFC" w:rsidRPr="00BC0701" w:rsidRDefault="004F3EFC" w:rsidP="008B5D7A">
      <w:pPr>
        <w:pStyle w:val="Heading2"/>
        <w:keepLines w:val="0"/>
        <w:numPr>
          <w:ilvl w:val="1"/>
          <w:numId w:val="6"/>
        </w:numPr>
        <w:spacing w:before="240" w:after="60" w:line="276" w:lineRule="auto"/>
      </w:pPr>
      <w:bookmarkStart w:id="36" w:name="_Toc345073632"/>
      <w:bookmarkStart w:id="37" w:name="_Toc345073983"/>
      <w:r w:rsidRPr="00BC0701">
        <w:t>Savings actions already enabled</w:t>
      </w:r>
      <w:bookmarkEnd w:id="36"/>
      <w:bookmarkEnd w:id="37"/>
    </w:p>
    <w:p w:rsidR="004F3EFC" w:rsidRPr="00BC0701" w:rsidRDefault="004F3EFC" w:rsidP="004F3EFC">
      <w:pPr>
        <w:rPr>
          <w:rFonts w:cs="Arial"/>
        </w:rPr>
      </w:pPr>
      <w:r w:rsidRPr="00BC0701">
        <w:rPr>
          <w:rFonts w:cs="Arial"/>
        </w:rPr>
        <w:t xml:space="preserve">This </w:t>
      </w:r>
      <w:r>
        <w:rPr>
          <w:rFonts w:cs="Arial"/>
        </w:rPr>
        <w:t>above review has assessed</w:t>
      </w:r>
      <w:r w:rsidRPr="00BC0701">
        <w:rPr>
          <w:rFonts w:cs="Arial"/>
        </w:rPr>
        <w:t xml:space="preserve"> the contracts to explore the opportunities for potential savings</w:t>
      </w:r>
      <w:r>
        <w:rPr>
          <w:rFonts w:cs="Arial"/>
        </w:rPr>
        <w:t xml:space="preserve"> in the future</w:t>
      </w:r>
      <w:r w:rsidRPr="00BC0701">
        <w:rPr>
          <w:rFonts w:cs="Arial"/>
        </w:rPr>
        <w:t xml:space="preserve">.  </w:t>
      </w:r>
      <w:r>
        <w:rPr>
          <w:rFonts w:cs="Arial"/>
        </w:rPr>
        <w:t>However, savings have already been made in the WMRC and these are described below. As the RRC contract has not yet entered into full service there are no historical savings.</w:t>
      </w:r>
    </w:p>
    <w:p w:rsidR="004F3EFC" w:rsidRPr="00BC0701" w:rsidRDefault="004F3EFC" w:rsidP="004F3EFC">
      <w:pPr>
        <w:rPr>
          <w:rFonts w:cs="Arial"/>
          <w:b/>
        </w:rPr>
      </w:pPr>
      <w:r w:rsidRPr="00BC0701">
        <w:rPr>
          <w:rFonts w:cs="Arial"/>
          <w:b/>
        </w:rPr>
        <w:t>HWRCs service fees</w:t>
      </w:r>
    </w:p>
    <w:p w:rsidR="004F3EFC" w:rsidRPr="00BC0701" w:rsidRDefault="004F3EFC" w:rsidP="004F3EFC">
      <w:pPr>
        <w:rPr>
          <w:rFonts w:cs="Arial"/>
        </w:rPr>
      </w:pPr>
      <w:r w:rsidRPr="00BC0701">
        <w:rPr>
          <w:rFonts w:cs="Arial"/>
        </w:rPr>
        <w:t xml:space="preserve">The </w:t>
      </w:r>
      <w:r>
        <w:rPr>
          <w:rFonts w:cs="Arial"/>
        </w:rPr>
        <w:t xml:space="preserve">original </w:t>
      </w:r>
      <w:r w:rsidRPr="00BC0701">
        <w:rPr>
          <w:rFonts w:cs="Arial"/>
        </w:rPr>
        <w:t xml:space="preserve">rates of operational costs were agreed </w:t>
      </w:r>
      <w:r>
        <w:rPr>
          <w:rFonts w:cs="Arial"/>
        </w:rPr>
        <w:t>when</w:t>
      </w:r>
      <w:r w:rsidRPr="00BC0701">
        <w:rPr>
          <w:rFonts w:cs="Arial"/>
        </w:rPr>
        <w:t xml:space="preserve"> the contract </w:t>
      </w:r>
      <w:r>
        <w:rPr>
          <w:rFonts w:cs="Arial"/>
        </w:rPr>
        <w:t xml:space="preserve">was signed </w:t>
      </w:r>
      <w:r w:rsidRPr="00BC0701">
        <w:rPr>
          <w:rFonts w:cs="Arial"/>
        </w:rPr>
        <w:t xml:space="preserve">and were based on the </w:t>
      </w:r>
      <w:r>
        <w:rPr>
          <w:rFonts w:cs="Arial"/>
        </w:rPr>
        <w:t>facilities</w:t>
      </w:r>
      <w:r w:rsidRPr="00BC0701">
        <w:rPr>
          <w:rFonts w:cs="Arial"/>
        </w:rPr>
        <w:t xml:space="preserve"> </w:t>
      </w:r>
      <w:r>
        <w:rPr>
          <w:rFonts w:cs="Arial"/>
        </w:rPr>
        <w:t>at that</w:t>
      </w:r>
      <w:r w:rsidRPr="00BC0701">
        <w:rPr>
          <w:rFonts w:cs="Arial"/>
        </w:rPr>
        <w:t xml:space="preserve"> time</w:t>
      </w:r>
      <w:r>
        <w:rPr>
          <w:rFonts w:cs="Arial"/>
        </w:rPr>
        <w:t>.  Since then t</w:t>
      </w:r>
      <w:r w:rsidRPr="00BC0701">
        <w:rPr>
          <w:rFonts w:cs="Arial"/>
        </w:rPr>
        <w:t xml:space="preserve">hree sites Kirkby, </w:t>
      </w:r>
      <w:proofErr w:type="spellStart"/>
      <w:r w:rsidRPr="00BC0701">
        <w:rPr>
          <w:rFonts w:cs="Arial"/>
        </w:rPr>
        <w:t>Huyton</w:t>
      </w:r>
      <w:proofErr w:type="spellEnd"/>
      <w:r w:rsidRPr="00BC0701">
        <w:rPr>
          <w:rFonts w:cs="Arial"/>
        </w:rPr>
        <w:t xml:space="preserve"> and </w:t>
      </w:r>
      <w:proofErr w:type="spellStart"/>
      <w:r w:rsidRPr="00BC0701">
        <w:rPr>
          <w:rFonts w:cs="Arial"/>
        </w:rPr>
        <w:t>Ravenhead</w:t>
      </w:r>
      <w:proofErr w:type="spellEnd"/>
      <w:r w:rsidRPr="00BC0701">
        <w:rPr>
          <w:rFonts w:cs="Arial"/>
        </w:rPr>
        <w:t xml:space="preserve"> have all been upgraded.  These upgrades have improved </w:t>
      </w:r>
      <w:r>
        <w:rPr>
          <w:rFonts w:cs="Arial"/>
        </w:rPr>
        <w:t>site performance</w:t>
      </w:r>
      <w:r w:rsidRPr="00BC0701">
        <w:rPr>
          <w:rFonts w:cs="Arial"/>
        </w:rPr>
        <w:t xml:space="preserve"> and the experience </w:t>
      </w:r>
      <w:r>
        <w:rPr>
          <w:rFonts w:cs="Arial"/>
        </w:rPr>
        <w:t>of</w:t>
      </w:r>
      <w:r w:rsidRPr="00BC0701">
        <w:rPr>
          <w:rFonts w:cs="Arial"/>
        </w:rPr>
        <w:t xml:space="preserve"> the users.  The </w:t>
      </w:r>
      <w:r>
        <w:rPr>
          <w:rFonts w:cs="Arial"/>
        </w:rPr>
        <w:t>upgrades</w:t>
      </w:r>
      <w:r w:rsidRPr="00BC0701">
        <w:rPr>
          <w:rFonts w:cs="Arial"/>
        </w:rPr>
        <w:t xml:space="preserve"> allowed the contractor to revise the service charges </w:t>
      </w:r>
      <w:r>
        <w:rPr>
          <w:rFonts w:cs="Arial"/>
        </w:rPr>
        <w:t>and</w:t>
      </w:r>
      <w:r w:rsidRPr="00BC0701">
        <w:rPr>
          <w:rFonts w:cs="Arial"/>
        </w:rPr>
        <w:t xml:space="preserve"> also facilitated savings </w:t>
      </w:r>
      <w:r>
        <w:rPr>
          <w:rFonts w:cs="Arial"/>
        </w:rPr>
        <w:t>to</w:t>
      </w:r>
      <w:r w:rsidRPr="00BC0701">
        <w:rPr>
          <w:rFonts w:cs="Arial"/>
        </w:rPr>
        <w:t xml:space="preserve"> the operations.  Whilst the overall service charges have increased the negot</w:t>
      </w:r>
      <w:r>
        <w:rPr>
          <w:rFonts w:cs="Arial"/>
        </w:rPr>
        <w:t>iation that ensued at the time provided a</w:t>
      </w:r>
      <w:r w:rsidRPr="00BC0701">
        <w:rPr>
          <w:rFonts w:cs="Arial"/>
        </w:rPr>
        <w:t xml:space="preserve"> £160k redu</w:t>
      </w:r>
      <w:r>
        <w:rPr>
          <w:rFonts w:cs="Arial"/>
        </w:rPr>
        <w:t>ction in the service fee</w:t>
      </w:r>
      <w:r w:rsidRPr="00BC0701">
        <w:rPr>
          <w:rFonts w:cs="Arial"/>
        </w:rPr>
        <w:t>s for these sites compared with the proposal from the contractor.</w:t>
      </w:r>
    </w:p>
    <w:p w:rsidR="004F3EFC" w:rsidRPr="00BC0701" w:rsidRDefault="004F3EFC" w:rsidP="004F3EFC">
      <w:pPr>
        <w:rPr>
          <w:rFonts w:cs="Arial"/>
          <w:b/>
        </w:rPr>
      </w:pPr>
      <w:r w:rsidRPr="00BC0701">
        <w:rPr>
          <w:rFonts w:cs="Arial"/>
          <w:b/>
        </w:rPr>
        <w:t>Site chemist</w:t>
      </w:r>
    </w:p>
    <w:p w:rsidR="004F3EFC" w:rsidRPr="00BC0701" w:rsidRDefault="004F3EFC" w:rsidP="004F3EFC">
      <w:pPr>
        <w:rPr>
          <w:rFonts w:cs="Arial"/>
        </w:rPr>
      </w:pPr>
      <w:r w:rsidRPr="00BC0701">
        <w:rPr>
          <w:rFonts w:cs="Arial"/>
        </w:rPr>
        <w:t>One innovation has been the introduction of a site chemist to asses</w:t>
      </w:r>
      <w:r>
        <w:rPr>
          <w:rFonts w:cs="Arial"/>
        </w:rPr>
        <w:t>s hazardous waste that arrives on</w:t>
      </w:r>
      <w:r w:rsidRPr="00BC0701">
        <w:rPr>
          <w:rFonts w:cs="Arial"/>
        </w:rPr>
        <w:t xml:space="preserve"> the sites.  Previously hazardous waste was segregated and sent to a single reprocessor and effectively the costs were high due to the charging of a</w:t>
      </w:r>
      <w:r>
        <w:rPr>
          <w:rFonts w:cs="Arial"/>
        </w:rPr>
        <w:t xml:space="preserve"> </w:t>
      </w:r>
      <w:r w:rsidRPr="00BC0701">
        <w:rPr>
          <w:rFonts w:cs="Arial"/>
        </w:rPr>
        <w:t>standard rate for all materials.  The introduction of the chemist allows segregation of the waste</w:t>
      </w:r>
      <w:r>
        <w:rPr>
          <w:rFonts w:cs="Arial"/>
        </w:rPr>
        <w:t xml:space="preserve"> on arrival</w:t>
      </w:r>
      <w:r w:rsidRPr="00BC0701">
        <w:rPr>
          <w:rFonts w:cs="Arial"/>
        </w:rPr>
        <w:t xml:space="preserve"> so that the appropriate treatment option can be applied reducing the cost for disposal.  </w:t>
      </w:r>
    </w:p>
    <w:p w:rsidR="004F3EFC" w:rsidRPr="00BC0701" w:rsidRDefault="004F3EFC" w:rsidP="004F3EFC">
      <w:pPr>
        <w:rPr>
          <w:rFonts w:cs="Arial"/>
          <w:b/>
        </w:rPr>
      </w:pPr>
      <w:r w:rsidRPr="00BC0701">
        <w:rPr>
          <w:rFonts w:cs="Arial"/>
          <w:b/>
        </w:rPr>
        <w:t>3</w:t>
      </w:r>
      <w:r w:rsidRPr="00BC0701">
        <w:rPr>
          <w:rFonts w:cs="Arial"/>
          <w:b/>
          <w:vertAlign w:val="superscript"/>
        </w:rPr>
        <w:t>rd</w:t>
      </w:r>
      <w:r w:rsidRPr="00BC0701">
        <w:rPr>
          <w:rFonts w:cs="Arial"/>
          <w:b/>
        </w:rPr>
        <w:t xml:space="preserve"> Party waste </w:t>
      </w:r>
    </w:p>
    <w:p w:rsidR="004F3EFC" w:rsidRPr="00BC0701" w:rsidRDefault="004F3EFC" w:rsidP="004F3EFC">
      <w:pPr>
        <w:rPr>
          <w:rFonts w:cs="Arial"/>
        </w:rPr>
      </w:pPr>
      <w:r w:rsidRPr="00BC0701">
        <w:rPr>
          <w:rFonts w:cs="Arial"/>
        </w:rPr>
        <w:t>The authority have established a methodology of assessing all new 3</w:t>
      </w:r>
      <w:r w:rsidRPr="00BC0701">
        <w:rPr>
          <w:rFonts w:cs="Arial"/>
          <w:vertAlign w:val="superscript"/>
        </w:rPr>
        <w:t>rd</w:t>
      </w:r>
      <w:r w:rsidRPr="00BC0701">
        <w:rPr>
          <w:rFonts w:cs="Arial"/>
        </w:rPr>
        <w:t xml:space="preserve"> party waste supply deals in to the Veolia contract and require a business case to be performed for each waste supply contract.  Whilst this is not necessarily a saving it is a methodology that ensures that all contracts of this type benefit the authority.</w:t>
      </w:r>
    </w:p>
    <w:p w:rsidR="004F3EFC" w:rsidRPr="00BC0701" w:rsidRDefault="004F3EFC" w:rsidP="004F3EFC">
      <w:pPr>
        <w:rPr>
          <w:rFonts w:cs="Arial"/>
        </w:rPr>
      </w:pPr>
      <w:r w:rsidRPr="00BC0701">
        <w:rPr>
          <w:rFonts w:cs="Arial"/>
        </w:rPr>
        <w:t>Similarly, business cases are made for materials such as mattress</w:t>
      </w:r>
      <w:r>
        <w:rPr>
          <w:rFonts w:cs="Arial"/>
        </w:rPr>
        <w:t>es,</w:t>
      </w:r>
      <w:r w:rsidRPr="00BC0701">
        <w:rPr>
          <w:rFonts w:cs="Arial"/>
        </w:rPr>
        <w:t xml:space="preserve"> batteries and hazardous waste</w:t>
      </w:r>
      <w:r>
        <w:rPr>
          <w:rFonts w:cs="Arial"/>
        </w:rPr>
        <w:t>;</w:t>
      </w:r>
      <w:r w:rsidRPr="00BC0701">
        <w:rPr>
          <w:rFonts w:cs="Arial"/>
        </w:rPr>
        <w:t xml:space="preserve"> </w:t>
      </w:r>
      <w:r>
        <w:rPr>
          <w:rFonts w:cs="Arial"/>
        </w:rPr>
        <w:t>this</w:t>
      </w:r>
      <w:r w:rsidRPr="00BC0701">
        <w:rPr>
          <w:rFonts w:cs="Arial"/>
        </w:rPr>
        <w:t xml:space="preserve"> ensure</w:t>
      </w:r>
      <w:r>
        <w:rPr>
          <w:rFonts w:cs="Arial"/>
        </w:rPr>
        <w:t>s</w:t>
      </w:r>
      <w:r w:rsidRPr="00BC0701">
        <w:rPr>
          <w:rFonts w:cs="Arial"/>
        </w:rPr>
        <w:t xml:space="preserve"> that </w:t>
      </w:r>
      <w:r>
        <w:rPr>
          <w:rFonts w:cs="Arial"/>
        </w:rPr>
        <w:t>prices for these materials are at competitive market rates</w:t>
      </w:r>
      <w:r w:rsidRPr="00BC0701">
        <w:rPr>
          <w:rFonts w:cs="Arial"/>
        </w:rPr>
        <w:t>.</w:t>
      </w:r>
    </w:p>
    <w:p w:rsidR="004F3EFC" w:rsidRPr="00BC0701" w:rsidRDefault="004F3EFC" w:rsidP="004F3EFC">
      <w:pPr>
        <w:rPr>
          <w:rFonts w:cs="Arial"/>
          <w:b/>
        </w:rPr>
      </w:pPr>
      <w:r w:rsidRPr="00BC0701">
        <w:rPr>
          <w:rFonts w:cs="Arial"/>
          <w:b/>
        </w:rPr>
        <w:t>Trade waste reception</w:t>
      </w:r>
    </w:p>
    <w:p w:rsidR="004F3EFC" w:rsidRPr="00BC0701" w:rsidRDefault="004F3EFC" w:rsidP="004F3EFC">
      <w:pPr>
        <w:rPr>
          <w:rFonts w:cs="Arial"/>
        </w:rPr>
      </w:pPr>
      <w:r w:rsidRPr="00BC0701">
        <w:rPr>
          <w:rFonts w:cs="Arial"/>
        </w:rPr>
        <w:t>The abuse of HWRCs by traders is common and a</w:t>
      </w:r>
      <w:r>
        <w:rPr>
          <w:rFonts w:cs="Arial"/>
        </w:rPr>
        <w:t>t</w:t>
      </w:r>
      <w:r w:rsidRPr="00BC0701">
        <w:rPr>
          <w:rFonts w:cs="Arial"/>
        </w:rPr>
        <w:t xml:space="preserve"> two site</w:t>
      </w:r>
      <w:r>
        <w:rPr>
          <w:rFonts w:cs="Arial"/>
        </w:rPr>
        <w:t>s</w:t>
      </w:r>
      <w:r w:rsidRPr="00BC0701">
        <w:rPr>
          <w:rFonts w:cs="Arial"/>
        </w:rPr>
        <w:t xml:space="preserve"> the authority has introduced </w:t>
      </w:r>
      <w:r>
        <w:rPr>
          <w:rFonts w:cs="Arial"/>
        </w:rPr>
        <w:t>a mechanism for charging for trade waste directly</w:t>
      </w:r>
      <w:r w:rsidRPr="00BC0701">
        <w:rPr>
          <w:rFonts w:cs="Arial"/>
        </w:rPr>
        <w:t xml:space="preserve">.  This has a </w:t>
      </w:r>
      <w:proofErr w:type="gramStart"/>
      <w:r w:rsidRPr="00BC0701">
        <w:rPr>
          <w:rFonts w:cs="Arial"/>
        </w:rPr>
        <w:t>two fold</w:t>
      </w:r>
      <w:proofErr w:type="gramEnd"/>
      <w:r w:rsidRPr="00BC0701">
        <w:rPr>
          <w:rFonts w:cs="Arial"/>
        </w:rPr>
        <w:t xml:space="preserve"> effect in that it reduces the tension of turning away traders and risking fly tipping but also provides a small income.  Contractually this tonnage is not added to the 3</w:t>
      </w:r>
      <w:r w:rsidRPr="00BC0701">
        <w:rPr>
          <w:rFonts w:cs="Arial"/>
          <w:vertAlign w:val="superscript"/>
        </w:rPr>
        <w:t>rd</w:t>
      </w:r>
      <w:r w:rsidRPr="00BC0701">
        <w:rPr>
          <w:rFonts w:cs="Arial"/>
        </w:rPr>
        <w:t xml:space="preserve"> party waste </w:t>
      </w:r>
      <w:proofErr w:type="gramStart"/>
      <w:r w:rsidRPr="00BC0701">
        <w:rPr>
          <w:rFonts w:cs="Arial"/>
        </w:rPr>
        <w:t>tonnage</w:t>
      </w:r>
      <w:proofErr w:type="gramEnd"/>
      <w:r w:rsidRPr="00BC0701">
        <w:rPr>
          <w:rFonts w:cs="Arial"/>
        </w:rPr>
        <w:t xml:space="preserve"> as currently it is a modest amount.</w:t>
      </w:r>
    </w:p>
    <w:p w:rsidR="004F3EFC" w:rsidRPr="00BC0701" w:rsidRDefault="004F3EFC" w:rsidP="004F3EFC">
      <w:pPr>
        <w:rPr>
          <w:rFonts w:cs="Arial"/>
          <w:b/>
        </w:rPr>
      </w:pPr>
      <w:r w:rsidRPr="00BC0701">
        <w:rPr>
          <w:rFonts w:cs="Arial"/>
          <w:b/>
        </w:rPr>
        <w:t>HWRC recyclate share</w:t>
      </w:r>
    </w:p>
    <w:p w:rsidR="004F3EFC" w:rsidRPr="00BC0701" w:rsidRDefault="004F3EFC" w:rsidP="004F3EFC">
      <w:pPr>
        <w:rPr>
          <w:rFonts w:cs="Arial"/>
        </w:rPr>
      </w:pPr>
      <w:r w:rsidRPr="00BC0701">
        <w:rPr>
          <w:rFonts w:cs="Arial"/>
        </w:rPr>
        <w:t xml:space="preserve">The contract targets for recycling at HWRCs were being exceeded but limited additional recycling being gained.  Therefore to increase the amount of recycling achieved the sharing mechanism was adjusted to a 60:40 arrangement </w:t>
      </w:r>
      <w:r>
        <w:rPr>
          <w:rFonts w:cs="Arial"/>
        </w:rPr>
        <w:t xml:space="preserve">(from a 50:50) </w:t>
      </w:r>
      <w:r w:rsidRPr="00BC0701">
        <w:rPr>
          <w:rFonts w:cs="Arial"/>
        </w:rPr>
        <w:t xml:space="preserve">to give the contractor greater incentive to recycle a greater proportion of the HWRC waste.  </w:t>
      </w:r>
    </w:p>
    <w:p w:rsidR="004F3EFC" w:rsidRPr="00BC0701" w:rsidRDefault="004F3EFC" w:rsidP="004F3EFC">
      <w:pPr>
        <w:rPr>
          <w:rFonts w:cs="Arial"/>
          <w:b/>
        </w:rPr>
      </w:pPr>
      <w:r w:rsidRPr="00BC0701">
        <w:rPr>
          <w:rFonts w:cs="Arial"/>
          <w:b/>
        </w:rPr>
        <w:t>Baler</w:t>
      </w:r>
    </w:p>
    <w:p w:rsidR="004F3EFC" w:rsidRPr="00BC0701" w:rsidRDefault="004F3EFC" w:rsidP="004F3EFC">
      <w:pPr>
        <w:rPr>
          <w:rFonts w:cs="Arial"/>
        </w:rPr>
      </w:pPr>
      <w:r w:rsidRPr="00BC0701">
        <w:rPr>
          <w:rFonts w:cs="Arial"/>
        </w:rPr>
        <w:t>A baler has b</w:t>
      </w:r>
      <w:r>
        <w:rPr>
          <w:rFonts w:cs="Arial"/>
        </w:rPr>
        <w:t>een installed at one of the HWRC</w:t>
      </w:r>
      <w:r w:rsidRPr="00BC0701">
        <w:rPr>
          <w:rFonts w:cs="Arial"/>
        </w:rPr>
        <w:t xml:space="preserve">s to allow the baling of </w:t>
      </w:r>
      <w:proofErr w:type="gramStart"/>
      <w:r w:rsidRPr="00BC0701">
        <w:rPr>
          <w:rFonts w:cs="Arial"/>
        </w:rPr>
        <w:t>cardboard which</w:t>
      </w:r>
      <w:proofErr w:type="gramEnd"/>
      <w:r w:rsidRPr="00BC0701">
        <w:rPr>
          <w:rFonts w:cs="Arial"/>
        </w:rPr>
        <w:t xml:space="preserve"> increases the storage capacity of this material.  Veolia have been permitted to use this baler for commercial wastes with a royalty fee being paid.</w:t>
      </w:r>
    </w:p>
    <w:p w:rsidR="004F3EFC" w:rsidRPr="00BC0701" w:rsidRDefault="004F3EFC" w:rsidP="004F3EFC">
      <w:pPr>
        <w:rPr>
          <w:rFonts w:cs="Arial"/>
          <w:b/>
        </w:rPr>
      </w:pPr>
      <w:r w:rsidRPr="00BC0701">
        <w:rPr>
          <w:rFonts w:cs="Arial"/>
          <w:b/>
        </w:rPr>
        <w:t>Recycling bonus payment schedule</w:t>
      </w:r>
    </w:p>
    <w:p w:rsidR="004F3EFC" w:rsidRPr="00BC0701" w:rsidRDefault="004F3EFC" w:rsidP="004F3EFC">
      <w:pPr>
        <w:rPr>
          <w:rFonts w:cs="Arial"/>
        </w:rPr>
      </w:pPr>
      <w:r w:rsidRPr="00BC0701">
        <w:rPr>
          <w:rFonts w:cs="Arial"/>
        </w:rPr>
        <w:t xml:space="preserve">The recycling bonus </w:t>
      </w:r>
      <w:proofErr w:type="gramStart"/>
      <w:r w:rsidRPr="00BC0701">
        <w:rPr>
          <w:rFonts w:cs="Arial"/>
        </w:rPr>
        <w:t>is contractually set to be paid</w:t>
      </w:r>
      <w:proofErr w:type="gramEnd"/>
      <w:r w:rsidRPr="00BC0701">
        <w:rPr>
          <w:rFonts w:cs="Arial"/>
        </w:rPr>
        <w:t xml:space="preserve"> monthly and this has been reduced to a quarterly payment as the calculation and verification process is time consuming.  Conducting the process quarterly releases administrative effort for other contract management activity.  There is no detrimental effect from making this payment quarterly as opposed to monthly. </w:t>
      </w:r>
    </w:p>
    <w:p w:rsidR="004F3EFC" w:rsidRDefault="004F3EFC" w:rsidP="004F3EFC">
      <w:pPr>
        <w:rPr>
          <w:rFonts w:cs="Arial"/>
        </w:rPr>
      </w:pPr>
    </w:p>
    <w:p w:rsidR="001C47CF" w:rsidRPr="00BC0701" w:rsidRDefault="001C47CF" w:rsidP="004F3EFC">
      <w:pPr>
        <w:rPr>
          <w:rFonts w:cs="Arial"/>
        </w:rPr>
      </w:pPr>
    </w:p>
    <w:p w:rsidR="00441634" w:rsidRPr="00DD34F4" w:rsidRDefault="00441634" w:rsidP="00441634">
      <w:pPr>
        <w:spacing w:after="200" w:line="276" w:lineRule="auto"/>
        <w:rPr>
          <w:rFonts w:cs="Arial"/>
          <w:noProof/>
        </w:rPr>
      </w:pPr>
    </w:p>
    <w:p w:rsidR="00441634" w:rsidRPr="00DD34F4" w:rsidRDefault="00441634" w:rsidP="00441634">
      <w:pPr>
        <w:rPr>
          <w:rFonts w:cs="Arial"/>
          <w:b/>
          <w:bCs/>
          <w:color w:val="000000"/>
          <w:sz w:val="24"/>
        </w:rPr>
      </w:pPr>
      <w:r w:rsidRPr="00DD34F4">
        <w:rPr>
          <w:rFonts w:cs="Arial"/>
          <w:b/>
          <w:bCs/>
          <w:color w:val="000000"/>
          <w:sz w:val="24"/>
        </w:rPr>
        <w:lastRenderedPageBreak/>
        <w:t>Contact details</w:t>
      </w:r>
    </w:p>
    <w:p w:rsidR="002D05C9" w:rsidRPr="00DD34F4" w:rsidRDefault="002D05C9" w:rsidP="002D05C9">
      <w:pPr>
        <w:rPr>
          <w:rFonts w:cs="Arial"/>
          <w:bCs/>
          <w:color w:val="000000"/>
          <w:sz w:val="22"/>
        </w:rPr>
      </w:pPr>
      <w:r>
        <w:rPr>
          <w:rFonts w:cs="Arial"/>
          <w:bCs/>
          <w:color w:val="000000"/>
          <w:sz w:val="22"/>
        </w:rPr>
        <w:t>Duncan Powell,</w:t>
      </w:r>
      <w:r w:rsidRPr="00DD34F4">
        <w:rPr>
          <w:rFonts w:cs="Arial"/>
          <w:bCs/>
          <w:color w:val="000000"/>
          <w:sz w:val="22"/>
        </w:rPr>
        <w:t xml:space="preserve"> Director, Local Partnerships</w:t>
      </w:r>
    </w:p>
    <w:p w:rsidR="002D05C9" w:rsidRPr="00DD34F4" w:rsidRDefault="002D05C9" w:rsidP="002D05C9">
      <w:pPr>
        <w:rPr>
          <w:rFonts w:cs="Arial"/>
          <w:bCs/>
          <w:color w:val="000000"/>
          <w:sz w:val="22"/>
        </w:rPr>
      </w:pPr>
      <w:r w:rsidRPr="00DD34F4">
        <w:rPr>
          <w:rFonts w:cs="Arial"/>
          <w:bCs/>
          <w:color w:val="000000"/>
          <w:sz w:val="22"/>
        </w:rPr>
        <w:t xml:space="preserve">Email: </w:t>
      </w:r>
      <w:r>
        <w:rPr>
          <w:rFonts w:cs="Arial"/>
          <w:bCs/>
          <w:color w:val="000000"/>
          <w:sz w:val="22"/>
        </w:rPr>
        <w:t>duncan.powell@local.gov.uk</w:t>
      </w:r>
    </w:p>
    <w:p w:rsidR="002D05C9" w:rsidRPr="00DD34F4" w:rsidRDefault="002D05C9" w:rsidP="002D05C9">
      <w:pPr>
        <w:rPr>
          <w:rFonts w:cs="Arial"/>
          <w:bCs/>
          <w:color w:val="000000"/>
          <w:sz w:val="22"/>
        </w:rPr>
      </w:pPr>
      <w:r w:rsidRPr="00DD34F4">
        <w:rPr>
          <w:rFonts w:cs="Arial"/>
          <w:bCs/>
          <w:color w:val="000000"/>
          <w:sz w:val="22"/>
        </w:rPr>
        <w:t xml:space="preserve">Tel: </w:t>
      </w:r>
      <w:r w:rsidRPr="000C63A2">
        <w:rPr>
          <w:rFonts w:cs="Arial"/>
          <w:bCs/>
          <w:color w:val="000000"/>
          <w:sz w:val="22"/>
          <w:lang w:val="en-US"/>
        </w:rPr>
        <w:t>020 7187 7379</w:t>
      </w:r>
    </w:p>
    <w:p w:rsidR="00441634" w:rsidRPr="00DD34F4" w:rsidRDefault="00441634" w:rsidP="00441634">
      <w:pPr>
        <w:rPr>
          <w:rFonts w:cs="Arial"/>
          <w:bCs/>
          <w:color w:val="000000"/>
          <w:sz w:val="22"/>
        </w:rPr>
      </w:pPr>
    </w:p>
    <w:p w:rsidR="00441634" w:rsidRPr="00DD34F4" w:rsidRDefault="00441634" w:rsidP="00441634">
      <w:pPr>
        <w:rPr>
          <w:rFonts w:cs="Arial"/>
          <w:bCs/>
          <w:color w:val="000000"/>
        </w:rPr>
      </w:pPr>
    </w:p>
    <w:p w:rsidR="00441634" w:rsidRPr="00DD34F4" w:rsidRDefault="00441634" w:rsidP="00441634">
      <w:pPr>
        <w:rPr>
          <w:rFonts w:cs="Arial"/>
          <w:b/>
          <w:bCs/>
          <w:color w:val="000000"/>
        </w:rPr>
      </w:pPr>
    </w:p>
    <w:p w:rsidR="00441634" w:rsidRPr="00DD34F4" w:rsidRDefault="00441634" w:rsidP="00441634">
      <w:pPr>
        <w:rPr>
          <w:rFonts w:cs="Arial"/>
          <w:b/>
          <w:bCs/>
          <w:color w:val="000000"/>
        </w:rPr>
      </w:pPr>
    </w:p>
    <w:p w:rsidR="00441634" w:rsidRPr="00DD34F4" w:rsidRDefault="00441634" w:rsidP="00441634">
      <w:pPr>
        <w:rPr>
          <w:rFonts w:cs="Arial"/>
          <w:b/>
          <w:bCs/>
          <w:color w:val="000000"/>
        </w:rPr>
      </w:pPr>
    </w:p>
    <w:p w:rsidR="00441634" w:rsidRPr="00DD34F4" w:rsidRDefault="00441634" w:rsidP="00441634">
      <w:pPr>
        <w:rPr>
          <w:rFonts w:cs="Arial"/>
          <w:b/>
          <w:bCs/>
          <w:color w:val="000000"/>
        </w:rPr>
      </w:pPr>
    </w:p>
    <w:p w:rsidR="00441634" w:rsidRPr="00DD34F4" w:rsidRDefault="00441634" w:rsidP="00441634">
      <w:pPr>
        <w:rPr>
          <w:rFonts w:cs="Arial"/>
          <w:b/>
          <w:bCs/>
          <w:color w:val="000000"/>
        </w:rPr>
      </w:pPr>
    </w:p>
    <w:p w:rsidR="00441634" w:rsidRPr="00DD34F4" w:rsidRDefault="001E644A" w:rsidP="001E644A">
      <w:pPr>
        <w:tabs>
          <w:tab w:val="left" w:pos="1740"/>
        </w:tabs>
        <w:rPr>
          <w:rFonts w:cs="Arial"/>
          <w:b/>
          <w:bCs/>
          <w:color w:val="000000"/>
        </w:rPr>
      </w:pPr>
      <w:r w:rsidRPr="00DD34F4">
        <w:rPr>
          <w:rFonts w:cs="Arial"/>
          <w:b/>
          <w:bCs/>
          <w:color w:val="000000"/>
        </w:rPr>
        <w:tab/>
      </w:r>
    </w:p>
    <w:p w:rsidR="00441634" w:rsidRPr="00DD34F4" w:rsidRDefault="00441634" w:rsidP="00441634">
      <w:pPr>
        <w:rPr>
          <w:rFonts w:cs="Arial"/>
          <w:b/>
          <w:bCs/>
          <w:color w:val="000000"/>
        </w:rPr>
      </w:pPr>
      <w:r w:rsidRPr="00DD34F4">
        <w:rPr>
          <w:rFonts w:cs="Arial"/>
          <w:b/>
          <w:bCs/>
          <w:color w:val="000000"/>
        </w:rPr>
        <w:t>Disclaimer</w:t>
      </w:r>
    </w:p>
    <w:p w:rsidR="00441634" w:rsidRPr="00DD34F4" w:rsidRDefault="00441634" w:rsidP="00441634">
      <w:pPr>
        <w:rPr>
          <w:rFonts w:cs="Arial"/>
          <w:color w:val="000000"/>
        </w:rPr>
      </w:pPr>
      <w:r w:rsidRPr="00DD34F4">
        <w:rPr>
          <w:rFonts w:cs="Arial"/>
          <w:color w:val="000000"/>
        </w:rPr>
        <w:t>This report has been produced and published in good faith by Local Partnerships and Local Partnerships shall not incur any liability for any action or omission arising out of any reliance being placed on the report (including any information it contains) by any organisation or other person.  Any organisation or other person in receipt of this report should take their own legal, financial and/or other relevant professional advice when considering what action (if any) to take in respect of any associated initiative, proposal or other arrangement, or before placing any reliance on the report (including any information it contains).</w:t>
      </w:r>
    </w:p>
    <w:p w:rsidR="00441634" w:rsidRPr="00DD34F4" w:rsidRDefault="00441634" w:rsidP="00441634">
      <w:pPr>
        <w:rPr>
          <w:rFonts w:cs="Arial"/>
          <w:color w:val="000000"/>
        </w:rPr>
      </w:pPr>
    </w:p>
    <w:p w:rsidR="00441634" w:rsidRPr="00DD34F4" w:rsidRDefault="00441634" w:rsidP="00441634">
      <w:pPr>
        <w:rPr>
          <w:rFonts w:cs="Arial"/>
        </w:rPr>
      </w:pPr>
      <w:r w:rsidRPr="00DD34F4">
        <w:rPr>
          <w:rFonts w:cs="Arial"/>
          <w:b/>
          <w:bCs/>
          <w:color w:val="000000"/>
        </w:rPr>
        <w:t>Copyright</w:t>
      </w:r>
    </w:p>
    <w:p w:rsidR="00BE2B03" w:rsidRPr="00DD34F4" w:rsidRDefault="00DD34F4" w:rsidP="00441634">
      <w:pPr>
        <w:spacing w:after="0"/>
        <w:rPr>
          <w:rFonts w:eastAsiaTheme="minorHAnsi" w:cs="Arial"/>
          <w:lang w:eastAsia="en-US"/>
        </w:rPr>
      </w:pPr>
      <w:r w:rsidRPr="00DD34F4">
        <w:rPr>
          <w:rFonts w:cs="Arial"/>
          <w:color w:val="000000"/>
        </w:rPr>
        <w:t>© Local Partnerships LLP 2016</w:t>
      </w:r>
      <w:r w:rsidR="00441634" w:rsidRPr="00DD34F4">
        <w:rPr>
          <w:rFonts w:cs="Arial"/>
          <w:noProof/>
          <w:lang w:val="en-US" w:eastAsia="en-US"/>
        </w:rPr>
        <w:drawing>
          <wp:anchor distT="0" distB="0" distL="114300" distR="114300" simplePos="0" relativeHeight="251660288" behindDoc="1" locked="0" layoutInCell="1" allowOverlap="1" wp14:anchorId="6BFC81F7" wp14:editId="5112D9F7">
            <wp:simplePos x="0" y="0"/>
            <wp:positionH relativeFrom="page">
              <wp:align>left</wp:align>
            </wp:positionH>
            <wp:positionV relativeFrom="page">
              <wp:posOffset>8188657</wp:posOffset>
            </wp:positionV>
            <wp:extent cx="7561636" cy="2501900"/>
            <wp:effectExtent l="0" t="0" r="127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 page 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61636" cy="2501900"/>
                    </a:xfrm>
                    <a:prstGeom prst="rect">
                      <a:avLst/>
                    </a:prstGeom>
                  </pic:spPr>
                </pic:pic>
              </a:graphicData>
            </a:graphic>
            <wp14:sizeRelH relativeFrom="page">
              <wp14:pctWidth>0</wp14:pctWidth>
            </wp14:sizeRelH>
            <wp14:sizeRelV relativeFrom="page">
              <wp14:pctHeight>0</wp14:pctHeight>
            </wp14:sizeRelV>
          </wp:anchor>
        </w:drawing>
      </w:r>
    </w:p>
    <w:sectPr w:rsidR="00BE2B03" w:rsidRPr="00DD34F4" w:rsidSect="001E644A">
      <w:headerReference w:type="default" r:id="rId24"/>
      <w:footerReference w:type="default" r:id="rId25"/>
      <w:pgSz w:w="11906" w:h="16838"/>
      <w:pgMar w:top="1440" w:right="1800" w:bottom="1440" w:left="1418"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D76" w:rsidRDefault="00D20D76">
      <w:r>
        <w:separator/>
      </w:r>
    </w:p>
    <w:p w:rsidR="00D20D76" w:rsidRDefault="00D20D76"/>
  </w:endnote>
  <w:endnote w:type="continuationSeparator" w:id="0">
    <w:p w:rsidR="00D20D76" w:rsidRDefault="00D20D76">
      <w:r>
        <w:continuationSeparator/>
      </w:r>
    </w:p>
    <w:p w:rsidR="00D20D76" w:rsidRDefault="00D20D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Frutiger LT Std 45 Light">
    <w:panose1 w:val="00000000000000000000"/>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Frutiger 45 Light">
    <w:altName w:val="Arial Narrow"/>
    <w:panose1 w:val="00000000000000000000"/>
    <w:charset w:val="00"/>
    <w:family w:val="swiss"/>
    <w:notTrueType/>
    <w:pitch w:val="variable"/>
    <w:sig w:usb0="00000003" w:usb1="00000000" w:usb2="00000000" w:usb3="00000000" w:csb0="00000001"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MS Mincho">
    <w:altName w:val="ＭＳ 明朝"/>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D76" w:rsidRPr="00AD295D" w:rsidRDefault="00D20D76" w:rsidP="00AD295D">
    <w:pPr>
      <w:pStyle w:val="Footer"/>
      <w:jc w:val="center"/>
      <w:rPr>
        <w:color w:val="007377"/>
        <w:sz w:val="20"/>
      </w:rPr>
    </w:pPr>
    <w:r>
      <w:rPr>
        <w:color w:val="007377"/>
        <w:sz w:val="20"/>
      </w:rPr>
      <w:t xml:space="preserve">LP Report template </w:t>
    </w:r>
    <w:r w:rsidRPr="00AD295D">
      <w:rPr>
        <w:color w:val="007377"/>
        <w:sz w:val="20"/>
      </w:rPr>
      <w:t xml:space="preserve">  </w:t>
    </w:r>
    <w:r w:rsidRPr="00AD295D">
      <w:rPr>
        <w:color w:val="007377"/>
        <w:sz w:val="20"/>
      </w:rPr>
      <w:tab/>
      <w:t xml:space="preserve">Page </w:t>
    </w:r>
    <w:r w:rsidRPr="00AD295D">
      <w:rPr>
        <w:color w:val="007377"/>
        <w:sz w:val="20"/>
      </w:rPr>
      <w:fldChar w:fldCharType="begin"/>
    </w:r>
    <w:r w:rsidRPr="00AD295D">
      <w:rPr>
        <w:color w:val="007377"/>
        <w:sz w:val="20"/>
      </w:rPr>
      <w:instrText xml:space="preserve"> PAGE   \* MERGEFORMAT </w:instrText>
    </w:r>
    <w:r w:rsidRPr="00AD295D">
      <w:rPr>
        <w:color w:val="007377"/>
        <w:sz w:val="20"/>
      </w:rPr>
      <w:fldChar w:fldCharType="separate"/>
    </w:r>
    <w:r w:rsidR="001E7134">
      <w:rPr>
        <w:noProof/>
        <w:color w:val="007377"/>
        <w:sz w:val="20"/>
      </w:rPr>
      <w:t>24</w:t>
    </w:r>
    <w:r w:rsidRPr="00AD295D">
      <w:rPr>
        <w:noProof/>
        <w:color w:val="007377"/>
        <w:sz w:val="20"/>
      </w:rPr>
      <w:fldChar w:fldCharType="end"/>
    </w:r>
    <w:r w:rsidRPr="00AD295D">
      <w:rPr>
        <w:noProof/>
        <w:color w:val="007377"/>
        <w:sz w:val="20"/>
      </w:rPr>
      <w:t xml:space="preserve"> of </w:t>
    </w:r>
    <w:r w:rsidRPr="00AD295D">
      <w:rPr>
        <w:noProof/>
        <w:color w:val="007377"/>
        <w:sz w:val="20"/>
      </w:rPr>
      <w:fldChar w:fldCharType="begin"/>
    </w:r>
    <w:r w:rsidRPr="00AD295D">
      <w:rPr>
        <w:noProof/>
        <w:color w:val="007377"/>
        <w:sz w:val="20"/>
      </w:rPr>
      <w:instrText xml:space="preserve"> NUMPAGES  \* Arabic  \* MERGEFORMAT </w:instrText>
    </w:r>
    <w:r w:rsidRPr="00AD295D">
      <w:rPr>
        <w:noProof/>
        <w:color w:val="007377"/>
        <w:sz w:val="20"/>
      </w:rPr>
      <w:fldChar w:fldCharType="separate"/>
    </w:r>
    <w:r w:rsidR="001E7134">
      <w:rPr>
        <w:noProof/>
        <w:color w:val="007377"/>
        <w:sz w:val="20"/>
      </w:rPr>
      <w:t>24</w:t>
    </w:r>
    <w:r w:rsidRPr="00AD295D">
      <w:rPr>
        <w:noProof/>
        <w:color w:val="007377"/>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D76" w:rsidRDefault="00D20D76">
      <w:r>
        <w:separator/>
      </w:r>
    </w:p>
    <w:p w:rsidR="00D20D76" w:rsidRDefault="00D20D76"/>
  </w:footnote>
  <w:footnote w:type="continuationSeparator" w:id="0">
    <w:p w:rsidR="00D20D76" w:rsidRDefault="00D20D76">
      <w:r>
        <w:continuationSeparator/>
      </w:r>
    </w:p>
    <w:p w:rsidR="00D20D76" w:rsidRDefault="00D20D76"/>
  </w:footnote>
  <w:footnote w:id="1">
    <w:p w:rsidR="00D20D76" w:rsidRDefault="00D20D76" w:rsidP="004F3EFC">
      <w:pPr>
        <w:pStyle w:val="FootnoteText"/>
      </w:pPr>
      <w:r>
        <w:rPr>
          <w:rStyle w:val="FootnoteReference"/>
        </w:rPr>
        <w:footnoteRef/>
      </w:r>
      <w:r>
        <w:t xml:space="preserve"> 6 to 6 ½ years annuity rate viewed 26/5/16, </w:t>
      </w:r>
      <w:r w:rsidRPr="00C36D75">
        <w:t>http://www.dmo.gov.uk/reportView.aspx</w:t>
      </w:r>
      <w:proofErr w:type="gramStart"/>
      <w:r w:rsidRPr="00C36D75">
        <w:t>?rptCode</w:t>
      </w:r>
      <w:proofErr w:type="gramEnd"/>
      <w:r w:rsidRPr="00C36D75">
        <w:t>=D7A.2&amp;rptName=11a6b7b3-c28f-42ca-9bcf-3d379fc88cc1||PWLB%20(2)&amp;</w:t>
      </w:r>
      <w:proofErr w:type="spellStart"/>
      <w:r w:rsidRPr="00C36D75">
        <w:t>reportpage</w:t>
      </w:r>
      <w:proofErr w:type="spellEnd"/>
      <w:r w:rsidRPr="00C36D75">
        <w:t>=</w:t>
      </w:r>
      <w:proofErr w:type="spellStart"/>
      <w:r w:rsidRPr="00C36D75">
        <w:t>Current_PWLB_Fixed</w:t>
      </w:r>
      <w:proofErr w:type="spellEnd"/>
    </w:p>
  </w:footnote>
  <w:footnote w:id="2">
    <w:p w:rsidR="00D20D76" w:rsidRDefault="00D20D76" w:rsidP="004F3EFC">
      <w:pPr>
        <w:pStyle w:val="FootnoteText"/>
      </w:pPr>
      <w:r>
        <w:rPr>
          <w:rStyle w:val="FootnoteReference"/>
        </w:rPr>
        <w:footnoteRef/>
      </w:r>
      <w:r>
        <w:t xml:space="preserve"> Band A is where income is up to 50% of the guaranteed level sharing 50% of income, Band B </w:t>
      </w:r>
      <w:proofErr w:type="spellStart"/>
      <w:r>
        <w:t>upto</w:t>
      </w:r>
      <w:proofErr w:type="spellEnd"/>
      <w:r>
        <w:t xml:space="preserve"> 75% sharing 60% of income and Band C up to 100% where 75% of income is shared</w:t>
      </w:r>
    </w:p>
  </w:footnote>
  <w:footnote w:id="3">
    <w:p w:rsidR="00D20D76" w:rsidRDefault="00D20D76" w:rsidP="004F3EFC">
      <w:pPr>
        <w:pStyle w:val="FootnoteText"/>
      </w:pPr>
      <w:r>
        <w:rPr>
          <w:rStyle w:val="FootnoteReference"/>
        </w:rPr>
        <w:footnoteRef/>
      </w:r>
      <w:r>
        <w:t xml:space="preserve"> MRF services plan,</w:t>
      </w:r>
      <w:r w:rsidRPr="00806145">
        <w:t xml:space="preserve"> </w:t>
      </w:r>
      <w:r>
        <w:t>para 2.13.1</w:t>
      </w:r>
    </w:p>
  </w:footnote>
  <w:footnote w:id="4">
    <w:p w:rsidR="00D20D76" w:rsidRDefault="00D20D76" w:rsidP="004F3EFC">
      <w:pPr>
        <w:pStyle w:val="FootnoteText"/>
      </w:pPr>
      <w:r>
        <w:rPr>
          <w:rStyle w:val="FootnoteReference"/>
        </w:rPr>
        <w:footnoteRef/>
      </w:r>
      <w:r>
        <w:t xml:space="preserve"> </w:t>
      </w:r>
      <w:r w:rsidRPr="00A1704E">
        <w:t>WRAP – Household Waste Recycling Centre (HWRC) Guidance – October 2012</w:t>
      </w:r>
      <w:r>
        <w:t xml:space="preserve">, </w:t>
      </w:r>
      <w:r w:rsidRPr="00A1704E">
        <w:t>http://www.wrap.org.uk/sites/files/wrap/INH0449_HWRC_Guide_%20final.pdf</w:t>
      </w:r>
    </w:p>
  </w:footnote>
  <w:footnote w:id="5">
    <w:p w:rsidR="00D20D76" w:rsidRPr="00186BE6" w:rsidRDefault="00D20D76" w:rsidP="004F3EFC">
      <w:pPr>
        <w:pStyle w:val="FootnoteText"/>
        <w:rPr>
          <w:lang w:val="en-US"/>
        </w:rPr>
      </w:pPr>
      <w:r>
        <w:rPr>
          <w:rStyle w:val="FootnoteReference"/>
        </w:rPr>
        <w:footnoteRef/>
      </w:r>
      <w:r>
        <w:t xml:space="preserve"> </w:t>
      </w:r>
      <w:r>
        <w:rPr>
          <w:lang w:val="en-US"/>
        </w:rPr>
        <w:t>30% is currently the limit set by Treasury</w:t>
      </w:r>
    </w:p>
  </w:footnote>
  <w:footnote w:id="6">
    <w:p w:rsidR="00D20D76" w:rsidRPr="007D52BB" w:rsidRDefault="00D20D76" w:rsidP="00272D34">
      <w:pPr>
        <w:pStyle w:val="FootnoteText"/>
        <w:rPr>
          <w:lang w:val="en-US"/>
        </w:rPr>
      </w:pPr>
      <w:r>
        <w:rPr>
          <w:rStyle w:val="FootnoteReference"/>
        </w:rPr>
        <w:footnoteRef/>
      </w:r>
      <w:r>
        <w:t xml:space="preserve"> </w:t>
      </w:r>
      <w:r>
        <w:rPr>
          <w:lang w:val="en-US"/>
        </w:rPr>
        <w:t>A note of caution should be attached to these estimates as the gain share varies according to the band into which the waste has fallen.</w:t>
      </w:r>
    </w:p>
  </w:footnote>
  <w:footnote w:id="7">
    <w:p w:rsidR="00D20D76" w:rsidRDefault="00D20D76" w:rsidP="004F3EFC">
      <w:pPr>
        <w:pStyle w:val="FootnoteText"/>
      </w:pPr>
      <w:r>
        <w:rPr>
          <w:rStyle w:val="FootnoteReference"/>
        </w:rPr>
        <w:footnoteRef/>
      </w:r>
      <w:r>
        <w:t xml:space="preserve"> Source Energy Solutions, </w:t>
      </w:r>
      <w:r w:rsidRPr="00522C86">
        <w:t>http://www.energybrokers.co.uk/electricity/historic-price-data-graph.htm</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D76" w:rsidRDefault="00D20D76">
    <w:pPr>
      <w:pStyle w:val="Header"/>
    </w:pPr>
    <w:r>
      <w:rPr>
        <w:b/>
        <w:noProof/>
        <w:sz w:val="24"/>
        <w:lang w:val="en-US" w:eastAsia="en-US"/>
      </w:rPr>
      <w:drawing>
        <wp:anchor distT="0" distB="0" distL="114300" distR="114300" simplePos="0" relativeHeight="251659264" behindDoc="0" locked="0" layoutInCell="1" allowOverlap="1" wp14:anchorId="75F6F1CE" wp14:editId="1DA771A9">
          <wp:simplePos x="0" y="0"/>
          <wp:positionH relativeFrom="column">
            <wp:posOffset>6010275</wp:posOffset>
          </wp:positionH>
          <wp:positionV relativeFrom="paragraph">
            <wp:posOffset>75565</wp:posOffset>
          </wp:positionV>
          <wp:extent cx="631455" cy="1251284"/>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P1.png"/>
                  <pic:cNvPicPr/>
                </pic:nvPicPr>
                <pic:blipFill>
                  <a:blip r:embed="rId1">
                    <a:extLst>
                      <a:ext uri="{28A0092B-C50C-407E-A947-70E740481C1C}">
                        <a14:useLocalDpi xmlns:a14="http://schemas.microsoft.com/office/drawing/2010/main" val="0"/>
                      </a:ext>
                    </a:extLst>
                  </a:blip>
                  <a:stretch>
                    <a:fillRect/>
                  </a:stretch>
                </pic:blipFill>
                <pic:spPr>
                  <a:xfrm flipH="1" flipV="1">
                    <a:off x="0" y="0"/>
                    <a:ext cx="631455" cy="125128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16D30"/>
    <w:multiLevelType w:val="multilevel"/>
    <w:tmpl w:val="B9E8896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0D552E8A"/>
    <w:multiLevelType w:val="multilevel"/>
    <w:tmpl w:val="667AE8C8"/>
    <w:lvl w:ilvl="0">
      <w:start w:val="1"/>
      <w:numFmt w:val="decimal"/>
      <w:lvlRestart w:val="0"/>
      <w:pStyle w:val="Heading1"/>
      <w:lvlText w:val="%1"/>
      <w:lvlJc w:val="left"/>
      <w:pPr>
        <w:tabs>
          <w:tab w:val="num" w:pos="1418"/>
        </w:tabs>
        <w:ind w:left="1418" w:hanging="85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850"/>
        </w:tabs>
        <w:ind w:left="850" w:hanging="850"/>
      </w:pPr>
      <w:rPr>
        <w:rFonts w:hint="default"/>
        <w:b/>
        <w:i w:val="0"/>
      </w:rPr>
    </w:lvl>
    <w:lvl w:ilvl="2">
      <w:start w:val="1"/>
      <w:numFmt w:val="decimal"/>
      <w:lvlText w:val="%1.%2.%3"/>
      <w:lvlJc w:val="left"/>
      <w:pPr>
        <w:tabs>
          <w:tab w:val="num" w:pos="850"/>
        </w:tabs>
        <w:ind w:left="850" w:hanging="85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upperRoman"/>
      <w:pStyle w:val="Heading4"/>
      <w:lvlText w:val="%4"/>
      <w:lvlJc w:val="left"/>
      <w:pPr>
        <w:tabs>
          <w:tab w:val="num" w:pos="850"/>
        </w:tabs>
        <w:ind w:left="850" w:hanging="850"/>
      </w:pPr>
      <w:rPr>
        <w:rFonts w:ascii="Arial" w:hAnsi="Arial" w:cs="Arial" w:hint="default"/>
        <w:b w:val="0"/>
        <w:i w:val="0"/>
        <w:color w:val="00C996"/>
        <w:sz w:val="22"/>
        <w:szCs w:val="22"/>
      </w:rPr>
    </w:lvl>
    <w:lvl w:ilvl="4">
      <w:start w:val="1"/>
      <w:numFmt w:val="decimal"/>
      <w:lvlText w:val="%1.%2.%3.%4.%5"/>
      <w:lvlJc w:val="left"/>
      <w:pPr>
        <w:tabs>
          <w:tab w:val="num" w:pos="2880"/>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2">
    <w:nsid w:val="219514A5"/>
    <w:multiLevelType w:val="hybridMultilevel"/>
    <w:tmpl w:val="64242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D787F7E"/>
    <w:multiLevelType w:val="hybridMultilevel"/>
    <w:tmpl w:val="96E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FE42DB1"/>
    <w:multiLevelType w:val="hybridMultilevel"/>
    <w:tmpl w:val="3496D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13810B3"/>
    <w:multiLevelType w:val="hybridMultilevel"/>
    <w:tmpl w:val="8B26BC36"/>
    <w:lvl w:ilvl="0" w:tplc="D0A03ECC">
      <w:start w:val="1"/>
      <w:numFmt w:val="bullet"/>
      <w:pStyle w:val="Strong"/>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4AA3375"/>
    <w:multiLevelType w:val="hybridMultilevel"/>
    <w:tmpl w:val="157463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7302498"/>
    <w:multiLevelType w:val="hybridMultilevel"/>
    <w:tmpl w:val="DB86593A"/>
    <w:lvl w:ilvl="0" w:tplc="967219C4">
      <w:start w:val="1"/>
      <w:numFmt w:val="bullet"/>
      <w:pStyle w:val="Heading3Char"/>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AE650E3"/>
    <w:multiLevelType w:val="hybridMultilevel"/>
    <w:tmpl w:val="C36EE2C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375DAC"/>
    <w:multiLevelType w:val="hybridMultilevel"/>
    <w:tmpl w:val="9092C21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0">
    <w:nsid w:val="79F87347"/>
    <w:multiLevelType w:val="hybridMultilevel"/>
    <w:tmpl w:val="8D800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5"/>
  </w:num>
  <w:num w:numId="4">
    <w:abstractNumId w:val="6"/>
  </w:num>
  <w:num w:numId="5">
    <w:abstractNumId w:val="2"/>
  </w:num>
  <w:num w:numId="6">
    <w:abstractNumId w:val="0"/>
  </w:num>
  <w:num w:numId="7">
    <w:abstractNumId w:val="10"/>
  </w:num>
  <w:num w:numId="8">
    <w:abstractNumId w:val="4"/>
  </w:num>
  <w:num w:numId="9">
    <w:abstractNumId w:val="9"/>
  </w:num>
  <w:num w:numId="10">
    <w:abstractNumId w:val="8"/>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B12"/>
    <w:rsid w:val="00004B80"/>
    <w:rsid w:val="00017FAD"/>
    <w:rsid w:val="0002715C"/>
    <w:rsid w:val="00034B2A"/>
    <w:rsid w:val="00034D09"/>
    <w:rsid w:val="00036A22"/>
    <w:rsid w:val="0003778D"/>
    <w:rsid w:val="00050BCB"/>
    <w:rsid w:val="0005208C"/>
    <w:rsid w:val="0008485E"/>
    <w:rsid w:val="00090193"/>
    <w:rsid w:val="00094A9C"/>
    <w:rsid w:val="00096877"/>
    <w:rsid w:val="000B7681"/>
    <w:rsid w:val="000F724F"/>
    <w:rsid w:val="000F7C32"/>
    <w:rsid w:val="00101557"/>
    <w:rsid w:val="00120A2B"/>
    <w:rsid w:val="00132578"/>
    <w:rsid w:val="00152127"/>
    <w:rsid w:val="0016287F"/>
    <w:rsid w:val="0016379F"/>
    <w:rsid w:val="0016632D"/>
    <w:rsid w:val="00170F24"/>
    <w:rsid w:val="001726DD"/>
    <w:rsid w:val="00185716"/>
    <w:rsid w:val="0019263B"/>
    <w:rsid w:val="00193C9A"/>
    <w:rsid w:val="001A7919"/>
    <w:rsid w:val="001C47CF"/>
    <w:rsid w:val="001D4CF5"/>
    <w:rsid w:val="001E644A"/>
    <w:rsid w:val="001E7134"/>
    <w:rsid w:val="001F0B12"/>
    <w:rsid w:val="001F0D9F"/>
    <w:rsid w:val="001F33D1"/>
    <w:rsid w:val="00205358"/>
    <w:rsid w:val="00205FC8"/>
    <w:rsid w:val="00230A6C"/>
    <w:rsid w:val="002520CD"/>
    <w:rsid w:val="00252494"/>
    <w:rsid w:val="00255E01"/>
    <w:rsid w:val="00272D34"/>
    <w:rsid w:val="0028122A"/>
    <w:rsid w:val="002820E8"/>
    <w:rsid w:val="00287D8B"/>
    <w:rsid w:val="002A181F"/>
    <w:rsid w:val="002B69D1"/>
    <w:rsid w:val="002D05C9"/>
    <w:rsid w:val="002E339F"/>
    <w:rsid w:val="00303643"/>
    <w:rsid w:val="00305281"/>
    <w:rsid w:val="003067D6"/>
    <w:rsid w:val="00316246"/>
    <w:rsid w:val="003215A1"/>
    <w:rsid w:val="003566AE"/>
    <w:rsid w:val="00363E43"/>
    <w:rsid w:val="003A20A1"/>
    <w:rsid w:val="003B034A"/>
    <w:rsid w:val="003C0562"/>
    <w:rsid w:val="003F23E2"/>
    <w:rsid w:val="0040509E"/>
    <w:rsid w:val="00410780"/>
    <w:rsid w:val="00422F31"/>
    <w:rsid w:val="00433F48"/>
    <w:rsid w:val="00441634"/>
    <w:rsid w:val="00444F19"/>
    <w:rsid w:val="004A2AD5"/>
    <w:rsid w:val="004A7A13"/>
    <w:rsid w:val="004B79A4"/>
    <w:rsid w:val="004C625B"/>
    <w:rsid w:val="004D51F5"/>
    <w:rsid w:val="004F3EFC"/>
    <w:rsid w:val="004F4131"/>
    <w:rsid w:val="00521630"/>
    <w:rsid w:val="00526BDC"/>
    <w:rsid w:val="00535F71"/>
    <w:rsid w:val="0054328F"/>
    <w:rsid w:val="0054680E"/>
    <w:rsid w:val="00573763"/>
    <w:rsid w:val="00574B29"/>
    <w:rsid w:val="005A506A"/>
    <w:rsid w:val="005A73C4"/>
    <w:rsid w:val="005C487B"/>
    <w:rsid w:val="005C4BD2"/>
    <w:rsid w:val="005C5E23"/>
    <w:rsid w:val="005F4AFB"/>
    <w:rsid w:val="006124BD"/>
    <w:rsid w:val="0061683F"/>
    <w:rsid w:val="006367C5"/>
    <w:rsid w:val="006402E3"/>
    <w:rsid w:val="0064573B"/>
    <w:rsid w:val="00647831"/>
    <w:rsid w:val="00647A70"/>
    <w:rsid w:val="00651B84"/>
    <w:rsid w:val="00676A92"/>
    <w:rsid w:val="0069490B"/>
    <w:rsid w:val="006A70B4"/>
    <w:rsid w:val="006B20E1"/>
    <w:rsid w:val="006B5B3C"/>
    <w:rsid w:val="006C635E"/>
    <w:rsid w:val="006C6EC1"/>
    <w:rsid w:val="006F1DA2"/>
    <w:rsid w:val="00702289"/>
    <w:rsid w:val="00705529"/>
    <w:rsid w:val="007055BE"/>
    <w:rsid w:val="00726E8D"/>
    <w:rsid w:val="00727E05"/>
    <w:rsid w:val="00734F94"/>
    <w:rsid w:val="007419E1"/>
    <w:rsid w:val="007679CA"/>
    <w:rsid w:val="007D1908"/>
    <w:rsid w:val="007D5B32"/>
    <w:rsid w:val="007E088E"/>
    <w:rsid w:val="007E46E4"/>
    <w:rsid w:val="007F54EB"/>
    <w:rsid w:val="0082122F"/>
    <w:rsid w:val="00830343"/>
    <w:rsid w:val="00857445"/>
    <w:rsid w:val="00871E90"/>
    <w:rsid w:val="008778AE"/>
    <w:rsid w:val="008812A8"/>
    <w:rsid w:val="008861B8"/>
    <w:rsid w:val="008B5D7A"/>
    <w:rsid w:val="008C0FD2"/>
    <w:rsid w:val="008C1C4E"/>
    <w:rsid w:val="008E1C5E"/>
    <w:rsid w:val="0090118A"/>
    <w:rsid w:val="009052CB"/>
    <w:rsid w:val="00940642"/>
    <w:rsid w:val="00950EE0"/>
    <w:rsid w:val="00960EFA"/>
    <w:rsid w:val="009777D0"/>
    <w:rsid w:val="009917A8"/>
    <w:rsid w:val="009A6070"/>
    <w:rsid w:val="009C5338"/>
    <w:rsid w:val="00A22964"/>
    <w:rsid w:val="00A551E9"/>
    <w:rsid w:val="00A55421"/>
    <w:rsid w:val="00A60A5B"/>
    <w:rsid w:val="00A75579"/>
    <w:rsid w:val="00A9721E"/>
    <w:rsid w:val="00AA3B44"/>
    <w:rsid w:val="00AC17DF"/>
    <w:rsid w:val="00AD27F4"/>
    <w:rsid w:val="00AD295D"/>
    <w:rsid w:val="00AE6929"/>
    <w:rsid w:val="00B05B8E"/>
    <w:rsid w:val="00B25EEE"/>
    <w:rsid w:val="00B27C36"/>
    <w:rsid w:val="00B83F6E"/>
    <w:rsid w:val="00B86719"/>
    <w:rsid w:val="00B96314"/>
    <w:rsid w:val="00BB447A"/>
    <w:rsid w:val="00BE2B03"/>
    <w:rsid w:val="00BE3780"/>
    <w:rsid w:val="00BE38F1"/>
    <w:rsid w:val="00C0595C"/>
    <w:rsid w:val="00C13CC6"/>
    <w:rsid w:val="00C16A26"/>
    <w:rsid w:val="00C17535"/>
    <w:rsid w:val="00C22D73"/>
    <w:rsid w:val="00C50D2D"/>
    <w:rsid w:val="00C51470"/>
    <w:rsid w:val="00C647DA"/>
    <w:rsid w:val="00C87173"/>
    <w:rsid w:val="00CB6CBA"/>
    <w:rsid w:val="00CB75E5"/>
    <w:rsid w:val="00CC277E"/>
    <w:rsid w:val="00D03756"/>
    <w:rsid w:val="00D11962"/>
    <w:rsid w:val="00D20D76"/>
    <w:rsid w:val="00D52ED0"/>
    <w:rsid w:val="00D55D9C"/>
    <w:rsid w:val="00D55DCC"/>
    <w:rsid w:val="00D576EA"/>
    <w:rsid w:val="00D82F8F"/>
    <w:rsid w:val="00D85DB6"/>
    <w:rsid w:val="00DA2360"/>
    <w:rsid w:val="00DA3085"/>
    <w:rsid w:val="00DC1160"/>
    <w:rsid w:val="00DC42E5"/>
    <w:rsid w:val="00DD34F4"/>
    <w:rsid w:val="00E04022"/>
    <w:rsid w:val="00E05174"/>
    <w:rsid w:val="00E559CA"/>
    <w:rsid w:val="00E64136"/>
    <w:rsid w:val="00E7452B"/>
    <w:rsid w:val="00E746E9"/>
    <w:rsid w:val="00E77571"/>
    <w:rsid w:val="00E82ACF"/>
    <w:rsid w:val="00EA1419"/>
    <w:rsid w:val="00EB3D00"/>
    <w:rsid w:val="00EB6CE5"/>
    <w:rsid w:val="00EC5CC5"/>
    <w:rsid w:val="00ED0F1B"/>
    <w:rsid w:val="00F00939"/>
    <w:rsid w:val="00F1274B"/>
    <w:rsid w:val="00F3526A"/>
    <w:rsid w:val="00F70041"/>
    <w:rsid w:val="00F7373D"/>
    <w:rsid w:val="00F85877"/>
    <w:rsid w:val="00FA73FF"/>
    <w:rsid w:val="00FB0FF7"/>
    <w:rsid w:val="00FB2986"/>
    <w:rsid w:val="00FB4E69"/>
    <w:rsid w:val="00FC18EF"/>
    <w:rsid w:val="00FC5B77"/>
    <w:rsid w:val="00FD1654"/>
    <w:rsid w:val="00FD42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245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szCs w:val="22"/>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uiPriority="99"/>
    <w:lsdException w:name="annotation text" w:uiPriority="99"/>
    <w:lsdException w:name="footer" w:uiPriority="99"/>
    <w:lsdException w:name="caption" w:uiPriority="35"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lsdException w:name="Normal (Web)" w:uiPriority="99"/>
    <w:lsdException w:name="annotation subject" w:uiPriority="99"/>
    <w:lsdException w:name="No List" w:uiPriority="99"/>
    <w:lsdException w:name="Balloon Text"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34F94"/>
    <w:pPr>
      <w:spacing w:after="120"/>
    </w:pPr>
    <w:rPr>
      <w:sz w:val="20"/>
    </w:rPr>
  </w:style>
  <w:style w:type="paragraph" w:styleId="Heading1">
    <w:name w:val="heading 1"/>
    <w:basedOn w:val="Normal"/>
    <w:next w:val="Normal"/>
    <w:link w:val="Heading1Char"/>
    <w:uiPriority w:val="9"/>
    <w:qFormat/>
    <w:rsid w:val="00734F94"/>
    <w:pPr>
      <w:keepNext/>
      <w:keepLines/>
      <w:pageBreakBefore/>
      <w:numPr>
        <w:numId w:val="1"/>
      </w:numPr>
      <w:tabs>
        <w:tab w:val="clear" w:pos="1418"/>
      </w:tabs>
      <w:spacing w:before="720" w:after="240"/>
      <w:ind w:left="851" w:hanging="851"/>
      <w:outlineLvl w:val="0"/>
    </w:pPr>
    <w:rPr>
      <w:rFonts w:eastAsiaTheme="majorEastAsia" w:cs="Arial"/>
      <w:bCs/>
      <w:color w:val="007377"/>
      <w:sz w:val="36"/>
      <w:szCs w:val="36"/>
      <w:lang w:eastAsia="en-US"/>
    </w:rPr>
  </w:style>
  <w:style w:type="paragraph" w:styleId="Heading2">
    <w:name w:val="heading 2"/>
    <w:basedOn w:val="Heading1"/>
    <w:next w:val="Normal"/>
    <w:link w:val="Heading2Char"/>
    <w:uiPriority w:val="9"/>
    <w:unhideWhenUsed/>
    <w:qFormat/>
    <w:rsid w:val="00734F94"/>
    <w:pPr>
      <w:pageBreakBefore w:val="0"/>
      <w:numPr>
        <w:ilvl w:val="1"/>
      </w:numPr>
      <w:spacing w:before="360"/>
      <w:outlineLvl w:val="1"/>
    </w:pPr>
    <w:rPr>
      <w:b/>
      <w:bCs w:val="0"/>
      <w:sz w:val="20"/>
      <w:szCs w:val="22"/>
    </w:rPr>
  </w:style>
  <w:style w:type="paragraph" w:styleId="Heading3">
    <w:name w:val="heading 3"/>
    <w:basedOn w:val="Heading2"/>
    <w:next w:val="Normal"/>
    <w:link w:val="Heading3Char"/>
    <w:autoRedefine/>
    <w:uiPriority w:val="9"/>
    <w:unhideWhenUsed/>
    <w:qFormat/>
    <w:rsid w:val="00E559CA"/>
    <w:pPr>
      <w:keepLines w:val="0"/>
      <w:numPr>
        <w:ilvl w:val="2"/>
        <w:numId w:val="6"/>
      </w:numPr>
      <w:spacing w:before="240" w:after="60" w:line="276" w:lineRule="auto"/>
      <w:outlineLvl w:val="2"/>
    </w:pPr>
    <w:rPr>
      <w:b w:val="0"/>
    </w:rPr>
  </w:style>
  <w:style w:type="paragraph" w:styleId="Heading4">
    <w:name w:val="heading 4"/>
    <w:basedOn w:val="Normal"/>
    <w:next w:val="Normal"/>
    <w:link w:val="Heading4Char"/>
    <w:uiPriority w:val="9"/>
    <w:qFormat/>
    <w:rsid w:val="00734F94"/>
    <w:pPr>
      <w:keepNext/>
      <w:keepLines/>
      <w:numPr>
        <w:ilvl w:val="3"/>
        <w:numId w:val="1"/>
      </w:numPr>
      <w:tabs>
        <w:tab w:val="clear" w:pos="850"/>
      </w:tabs>
      <w:spacing w:before="240" w:after="240"/>
      <w:ind w:left="709" w:hanging="709"/>
      <w:outlineLvl w:val="3"/>
    </w:pPr>
    <w:rPr>
      <w:rFonts w:cstheme="majorBidi"/>
      <w:iCs/>
      <w:color w:val="00C996"/>
    </w:rPr>
  </w:style>
  <w:style w:type="paragraph" w:styleId="Heading5">
    <w:name w:val="heading 5"/>
    <w:basedOn w:val="Normal"/>
    <w:next w:val="Normal"/>
    <w:link w:val="Heading5Char"/>
    <w:uiPriority w:val="9"/>
    <w:semiHidden/>
    <w:unhideWhenUsed/>
    <w:qFormat/>
    <w:rsid w:val="00EA141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F3EFC"/>
    <w:pPr>
      <w:spacing w:before="240" w:after="60" w:line="276" w:lineRule="auto"/>
      <w:ind w:left="1152" w:hanging="1152"/>
      <w:outlineLvl w:val="5"/>
    </w:pPr>
    <w:rPr>
      <w:rFonts w:ascii="Calibri" w:hAnsi="Calibri"/>
      <w:b/>
      <w:bCs/>
      <w:sz w:val="22"/>
      <w:lang w:eastAsia="en-US"/>
    </w:rPr>
  </w:style>
  <w:style w:type="paragraph" w:styleId="Heading7">
    <w:name w:val="heading 7"/>
    <w:basedOn w:val="Normal"/>
    <w:next w:val="Normal"/>
    <w:link w:val="Heading7Char"/>
    <w:uiPriority w:val="9"/>
    <w:semiHidden/>
    <w:unhideWhenUsed/>
    <w:qFormat/>
    <w:rsid w:val="004F3EFC"/>
    <w:pPr>
      <w:spacing w:before="240" w:after="60" w:line="276" w:lineRule="auto"/>
      <w:ind w:left="1296" w:hanging="1296"/>
      <w:outlineLvl w:val="6"/>
    </w:pPr>
    <w:rPr>
      <w:rFonts w:ascii="Calibri" w:hAnsi="Calibri"/>
      <w:sz w:val="24"/>
      <w:szCs w:val="24"/>
      <w:lang w:eastAsia="en-US"/>
    </w:rPr>
  </w:style>
  <w:style w:type="paragraph" w:styleId="Heading8">
    <w:name w:val="heading 8"/>
    <w:basedOn w:val="Normal"/>
    <w:next w:val="Normal"/>
    <w:link w:val="Heading8Char"/>
    <w:uiPriority w:val="9"/>
    <w:semiHidden/>
    <w:unhideWhenUsed/>
    <w:qFormat/>
    <w:rsid w:val="004F3EFC"/>
    <w:pPr>
      <w:spacing w:before="240" w:after="60" w:line="276" w:lineRule="auto"/>
      <w:ind w:left="1440" w:hanging="1440"/>
      <w:outlineLvl w:val="7"/>
    </w:pPr>
    <w:rPr>
      <w:rFonts w:ascii="Calibri" w:hAnsi="Calibri"/>
      <w:i/>
      <w:iCs/>
      <w:sz w:val="24"/>
      <w:szCs w:val="24"/>
      <w:lang w:eastAsia="en-US"/>
    </w:rPr>
  </w:style>
  <w:style w:type="paragraph" w:styleId="Heading9">
    <w:name w:val="heading 9"/>
    <w:basedOn w:val="Normal"/>
    <w:next w:val="Normal"/>
    <w:link w:val="Heading9Char"/>
    <w:uiPriority w:val="9"/>
    <w:semiHidden/>
    <w:unhideWhenUsed/>
    <w:qFormat/>
    <w:rsid w:val="004F3EFC"/>
    <w:pPr>
      <w:spacing w:before="240" w:after="60" w:line="276" w:lineRule="auto"/>
      <w:ind w:left="1584" w:hanging="1584"/>
      <w:outlineLvl w:val="8"/>
    </w:pPr>
    <w:rPr>
      <w:rFonts w:ascii="Cambria" w:hAnsi="Cambria"/>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F94"/>
    <w:rPr>
      <w:rFonts w:eastAsiaTheme="majorEastAsia" w:cs="Arial"/>
      <w:bCs/>
      <w:color w:val="007377"/>
      <w:sz w:val="36"/>
      <w:szCs w:val="36"/>
      <w:lang w:eastAsia="en-US"/>
    </w:rPr>
  </w:style>
  <w:style w:type="character" w:customStyle="1" w:styleId="Heading2Char">
    <w:name w:val="Heading 2 Char"/>
    <w:basedOn w:val="DefaultParagraphFont"/>
    <w:link w:val="Heading2"/>
    <w:uiPriority w:val="9"/>
    <w:rsid w:val="00734F94"/>
    <w:rPr>
      <w:rFonts w:eastAsiaTheme="majorEastAsia" w:cs="Arial"/>
      <w:b/>
      <w:color w:val="007377"/>
      <w:sz w:val="20"/>
      <w:lang w:eastAsia="en-US"/>
    </w:rPr>
  </w:style>
  <w:style w:type="character" w:customStyle="1" w:styleId="Heading3Char">
    <w:name w:val="Heading 3 Char"/>
    <w:basedOn w:val="DefaultParagraphFont"/>
    <w:link w:val="Heading3"/>
    <w:uiPriority w:val="9"/>
    <w:rsid w:val="00E559CA"/>
    <w:rPr>
      <w:rFonts w:eastAsiaTheme="majorEastAsia" w:cs="Arial"/>
      <w:color w:val="007377"/>
      <w:sz w:val="20"/>
      <w:lang w:eastAsia="en-US"/>
    </w:rPr>
  </w:style>
  <w:style w:type="character" w:customStyle="1" w:styleId="Heading4Char">
    <w:name w:val="Heading 4 Char"/>
    <w:basedOn w:val="DefaultParagraphFont"/>
    <w:link w:val="Heading4"/>
    <w:uiPriority w:val="9"/>
    <w:rsid w:val="00734F94"/>
    <w:rPr>
      <w:rFonts w:cstheme="majorBidi"/>
      <w:iCs/>
      <w:color w:val="00C996"/>
      <w:sz w:val="20"/>
    </w:rPr>
  </w:style>
  <w:style w:type="character" w:customStyle="1" w:styleId="Heading5Char">
    <w:name w:val="Heading 5 Char"/>
    <w:basedOn w:val="DefaultParagraphFont"/>
    <w:link w:val="Heading5"/>
    <w:uiPriority w:val="9"/>
    <w:semiHidden/>
    <w:rsid w:val="00EA1419"/>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4F3EFC"/>
    <w:rPr>
      <w:rFonts w:ascii="Calibri" w:hAnsi="Calibri"/>
      <w:b/>
      <w:bCs/>
      <w:lang w:eastAsia="en-US"/>
    </w:rPr>
  </w:style>
  <w:style w:type="character" w:customStyle="1" w:styleId="Heading7Char">
    <w:name w:val="Heading 7 Char"/>
    <w:basedOn w:val="DefaultParagraphFont"/>
    <w:link w:val="Heading7"/>
    <w:uiPriority w:val="9"/>
    <w:semiHidden/>
    <w:rsid w:val="004F3EFC"/>
    <w:rPr>
      <w:rFonts w:ascii="Calibri" w:hAnsi="Calibri"/>
      <w:sz w:val="24"/>
      <w:szCs w:val="24"/>
      <w:lang w:eastAsia="en-US"/>
    </w:rPr>
  </w:style>
  <w:style w:type="character" w:customStyle="1" w:styleId="Heading8Char">
    <w:name w:val="Heading 8 Char"/>
    <w:basedOn w:val="DefaultParagraphFont"/>
    <w:link w:val="Heading8"/>
    <w:uiPriority w:val="9"/>
    <w:semiHidden/>
    <w:rsid w:val="004F3EFC"/>
    <w:rPr>
      <w:rFonts w:ascii="Calibri" w:hAnsi="Calibri"/>
      <w:i/>
      <w:iCs/>
      <w:sz w:val="24"/>
      <w:szCs w:val="24"/>
      <w:lang w:eastAsia="en-US"/>
    </w:rPr>
  </w:style>
  <w:style w:type="character" w:customStyle="1" w:styleId="Heading9Char">
    <w:name w:val="Heading 9 Char"/>
    <w:basedOn w:val="DefaultParagraphFont"/>
    <w:link w:val="Heading9"/>
    <w:uiPriority w:val="9"/>
    <w:semiHidden/>
    <w:rsid w:val="004F3EFC"/>
    <w:rPr>
      <w:rFonts w:ascii="Cambria" w:hAnsi="Cambria"/>
      <w:lang w:eastAsia="en-US"/>
    </w:rPr>
  </w:style>
  <w:style w:type="paragraph" w:styleId="ListParagraph">
    <w:name w:val="List Paragraph"/>
    <w:basedOn w:val="Normal"/>
    <w:uiPriority w:val="72"/>
    <w:qFormat/>
    <w:rsid w:val="00101557"/>
    <w:pPr>
      <w:numPr>
        <w:numId w:val="2"/>
      </w:numPr>
      <w:spacing w:after="240"/>
    </w:pPr>
    <w:rPr>
      <w:rFonts w:eastAsiaTheme="minorHAnsi" w:cs="Arial"/>
      <w:lang w:eastAsia="en-US"/>
    </w:rPr>
  </w:style>
  <w:style w:type="paragraph" w:customStyle="1" w:styleId="Advice">
    <w:name w:val="Advice"/>
    <w:basedOn w:val="Normal"/>
    <w:qFormat/>
    <w:rsid w:val="00AD295D"/>
    <w:rPr>
      <w:rFonts w:eastAsiaTheme="minorHAnsi" w:cs="Arial"/>
      <w:color w:val="007377"/>
      <w:lang w:eastAsia="en-US"/>
    </w:rPr>
  </w:style>
  <w:style w:type="paragraph" w:styleId="NormalWeb">
    <w:name w:val="Normal (Web)"/>
    <w:basedOn w:val="Normal"/>
    <w:uiPriority w:val="99"/>
    <w:unhideWhenUsed/>
    <w:rsid w:val="00F1274B"/>
    <w:pPr>
      <w:spacing w:before="100" w:beforeAutospacing="1" w:after="100" w:afterAutospacing="1"/>
    </w:pPr>
  </w:style>
  <w:style w:type="character" w:styleId="Strong">
    <w:name w:val="Strong"/>
    <w:basedOn w:val="DefaultParagraphFont"/>
    <w:uiPriority w:val="22"/>
    <w:qFormat/>
    <w:rsid w:val="00726E8D"/>
    <w:rPr>
      <w:rFonts w:ascii="Arial" w:hAnsi="Arial"/>
      <w:b/>
      <w:bCs/>
      <w:sz w:val="22"/>
    </w:rPr>
  </w:style>
  <w:style w:type="character" w:styleId="Emphasis">
    <w:name w:val="Emphasis"/>
    <w:basedOn w:val="DefaultParagraphFont"/>
    <w:uiPriority w:val="20"/>
    <w:rsid w:val="00F1274B"/>
    <w:rPr>
      <w:i/>
      <w:iCs/>
    </w:rPr>
  </w:style>
  <w:style w:type="character" w:styleId="Hyperlink">
    <w:name w:val="Hyperlink"/>
    <w:basedOn w:val="DefaultParagraphFont"/>
    <w:uiPriority w:val="99"/>
    <w:unhideWhenUsed/>
    <w:rsid w:val="006402E3"/>
    <w:rPr>
      <w:color w:val="0000FF"/>
      <w:u w:val="single"/>
    </w:rPr>
  </w:style>
  <w:style w:type="paragraph" w:customStyle="1" w:styleId="Default">
    <w:name w:val="Default"/>
    <w:rsid w:val="002B69D1"/>
    <w:pPr>
      <w:autoSpaceDE w:val="0"/>
      <w:autoSpaceDN w:val="0"/>
      <w:adjustRightInd w:val="0"/>
    </w:pPr>
    <w:rPr>
      <w:rFonts w:eastAsiaTheme="minorHAnsi" w:cs="Arial"/>
      <w:color w:val="000000"/>
      <w:sz w:val="24"/>
      <w:szCs w:val="24"/>
      <w:lang w:eastAsia="en-US"/>
    </w:rPr>
  </w:style>
  <w:style w:type="table" w:styleId="TableGrid">
    <w:name w:val="Table Grid"/>
    <w:basedOn w:val="TableNormal"/>
    <w:uiPriority w:val="59"/>
    <w:rsid w:val="00303643"/>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raphic">
    <w:name w:val="Graphic"/>
    <w:basedOn w:val="Normal"/>
    <w:rsid w:val="007D5B32"/>
    <w:pPr>
      <w:keepNext/>
      <w:overflowPunct w:val="0"/>
      <w:autoSpaceDE w:val="0"/>
      <w:autoSpaceDN w:val="0"/>
      <w:adjustRightInd w:val="0"/>
      <w:spacing w:after="130"/>
      <w:jc w:val="center"/>
      <w:textAlignment w:val="baseline"/>
    </w:pPr>
    <w:rPr>
      <w:sz w:val="22"/>
      <w:szCs w:val="20"/>
      <w:lang w:eastAsia="en-US"/>
    </w:rPr>
  </w:style>
  <w:style w:type="paragraph" w:customStyle="1" w:styleId="Bullet">
    <w:name w:val="Bullet"/>
    <w:aliases w:val="bl,Bullet L1,bl1"/>
    <w:basedOn w:val="Normal"/>
    <w:rsid w:val="007D5B32"/>
    <w:pPr>
      <w:numPr>
        <w:numId w:val="3"/>
      </w:numPr>
      <w:tabs>
        <w:tab w:val="clear" w:pos="360"/>
      </w:tabs>
      <w:overflowPunct w:val="0"/>
      <w:autoSpaceDE w:val="0"/>
      <w:autoSpaceDN w:val="0"/>
      <w:adjustRightInd w:val="0"/>
      <w:spacing w:after="130"/>
      <w:ind w:left="357" w:hanging="357"/>
      <w:jc w:val="both"/>
      <w:textAlignment w:val="baseline"/>
    </w:pPr>
    <w:rPr>
      <w:sz w:val="22"/>
      <w:szCs w:val="20"/>
      <w:lang w:eastAsia="en-US"/>
    </w:rPr>
  </w:style>
  <w:style w:type="paragraph" w:customStyle="1" w:styleId="ReduceLine">
    <w:name w:val="Reduce Line"/>
    <w:basedOn w:val="Normal"/>
    <w:rsid w:val="007D5B32"/>
    <w:pPr>
      <w:overflowPunct w:val="0"/>
      <w:autoSpaceDE w:val="0"/>
      <w:autoSpaceDN w:val="0"/>
      <w:adjustRightInd w:val="0"/>
      <w:spacing w:after="60" w:line="60" w:lineRule="exact"/>
      <w:textAlignment w:val="baseline"/>
    </w:pPr>
    <w:rPr>
      <w:sz w:val="22"/>
      <w:szCs w:val="20"/>
      <w:lang w:eastAsia="en-US"/>
    </w:rPr>
  </w:style>
  <w:style w:type="paragraph" w:styleId="Footer">
    <w:name w:val="footer"/>
    <w:basedOn w:val="Normal"/>
    <w:link w:val="FooterChar"/>
    <w:uiPriority w:val="99"/>
    <w:unhideWhenUsed/>
    <w:rsid w:val="00E77571"/>
    <w:pPr>
      <w:tabs>
        <w:tab w:val="center" w:pos="4513"/>
        <w:tab w:val="right" w:pos="9026"/>
      </w:tabs>
    </w:pPr>
    <w:rPr>
      <w:rFonts w:eastAsiaTheme="minorHAnsi" w:cstheme="minorBidi"/>
      <w:sz w:val="22"/>
      <w:lang w:eastAsia="en-US"/>
    </w:rPr>
  </w:style>
  <w:style w:type="character" w:customStyle="1" w:styleId="FooterChar">
    <w:name w:val="Footer Char"/>
    <w:basedOn w:val="DefaultParagraphFont"/>
    <w:link w:val="Footer"/>
    <w:uiPriority w:val="99"/>
    <w:rsid w:val="00E77571"/>
    <w:rPr>
      <w:rFonts w:ascii="Arial" w:eastAsiaTheme="minorHAnsi" w:hAnsi="Arial" w:cstheme="minorBidi"/>
      <w:sz w:val="22"/>
      <w:szCs w:val="22"/>
      <w:lang w:eastAsia="en-US"/>
    </w:rPr>
  </w:style>
  <w:style w:type="paragraph" w:styleId="BalloonText">
    <w:name w:val="Balloon Text"/>
    <w:basedOn w:val="Normal"/>
    <w:link w:val="BalloonTextChar"/>
    <w:uiPriority w:val="99"/>
    <w:rsid w:val="00E77571"/>
    <w:rPr>
      <w:rFonts w:ascii="Tahoma" w:hAnsi="Tahoma" w:cs="Tahoma"/>
      <w:sz w:val="16"/>
      <w:szCs w:val="16"/>
    </w:rPr>
  </w:style>
  <w:style w:type="character" w:customStyle="1" w:styleId="BalloonTextChar">
    <w:name w:val="Balloon Text Char"/>
    <w:basedOn w:val="DefaultParagraphFont"/>
    <w:link w:val="BalloonText"/>
    <w:uiPriority w:val="99"/>
    <w:rsid w:val="00E77571"/>
    <w:rPr>
      <w:rFonts w:ascii="Tahoma" w:hAnsi="Tahoma" w:cs="Tahoma"/>
      <w:sz w:val="16"/>
      <w:szCs w:val="16"/>
    </w:rPr>
  </w:style>
  <w:style w:type="paragraph" w:styleId="CommentText">
    <w:name w:val="annotation text"/>
    <w:basedOn w:val="Normal"/>
    <w:link w:val="CommentTextChar"/>
    <w:uiPriority w:val="99"/>
    <w:unhideWhenUsed/>
    <w:rsid w:val="00676A92"/>
    <w:pPr>
      <w:spacing w:after="200"/>
    </w:pPr>
    <w:rPr>
      <w:rFonts w:asciiTheme="minorHAnsi" w:eastAsiaTheme="minorHAnsi" w:hAnsiTheme="minorHAnsi" w:cstheme="minorBidi"/>
      <w:szCs w:val="20"/>
      <w:lang w:eastAsia="en-US"/>
    </w:rPr>
  </w:style>
  <w:style w:type="character" w:customStyle="1" w:styleId="CommentTextChar">
    <w:name w:val="Comment Text Char"/>
    <w:basedOn w:val="DefaultParagraphFont"/>
    <w:link w:val="CommentText"/>
    <w:uiPriority w:val="99"/>
    <w:rsid w:val="00676A92"/>
    <w:rPr>
      <w:rFonts w:asciiTheme="minorHAnsi" w:eastAsiaTheme="minorHAnsi" w:hAnsiTheme="minorHAnsi" w:cstheme="minorBidi"/>
      <w:lang w:eastAsia="en-US"/>
    </w:rPr>
  </w:style>
  <w:style w:type="paragraph" w:customStyle="1" w:styleId="Bodycopy">
    <w:name w:val="Body copy"/>
    <w:basedOn w:val="Normal"/>
    <w:rsid w:val="00D55DC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uppressAutoHyphens/>
      <w:spacing w:after="100"/>
      <w:ind w:left="709"/>
      <w:jc w:val="both"/>
    </w:pPr>
    <w:rPr>
      <w:rFonts w:ascii="Frutiger LT Std 45 Light" w:eastAsia="ヒラギノ角ゴ Pro W3" w:hAnsi="Frutiger LT Std 45 Light"/>
      <w:color w:val="394A58"/>
      <w:kern w:val="1"/>
      <w:szCs w:val="20"/>
    </w:rPr>
  </w:style>
  <w:style w:type="paragraph" w:customStyle="1" w:styleId="Bulletlist">
    <w:name w:val="Bullet list"/>
    <w:rsid w:val="00D55DCC"/>
    <w:pPr>
      <w:tabs>
        <w:tab w:val="left" w:pos="709"/>
      </w:tabs>
      <w:suppressAutoHyphens/>
      <w:spacing w:after="40"/>
      <w:jc w:val="both"/>
    </w:pPr>
    <w:rPr>
      <w:rFonts w:ascii="Frutiger LT Std 45 Light" w:eastAsia="ヒラギノ角ゴ Pro W3" w:hAnsi="Frutiger LT Std 45 Light"/>
      <w:color w:val="394A58"/>
      <w:lang w:val="en-US"/>
    </w:rPr>
  </w:style>
  <w:style w:type="paragraph" w:customStyle="1" w:styleId="Tableheading">
    <w:name w:val="Table: heading"/>
    <w:basedOn w:val="Normal"/>
    <w:rsid w:val="00D55DCC"/>
    <w:pPr>
      <w:keepNext/>
      <w:spacing w:before="40" w:after="40" w:line="280" w:lineRule="exact"/>
      <w:ind w:right="113"/>
    </w:pPr>
    <w:rPr>
      <w:i/>
      <w:sz w:val="18"/>
      <w:szCs w:val="20"/>
      <w:lang w:eastAsia="en-US"/>
    </w:rPr>
  </w:style>
  <w:style w:type="paragraph" w:customStyle="1" w:styleId="Tablecells">
    <w:name w:val="Table: cells"/>
    <w:basedOn w:val="Normal"/>
    <w:rsid w:val="00D55DCC"/>
    <w:pPr>
      <w:keepNext/>
      <w:spacing w:before="40" w:after="40" w:line="240" w:lineRule="exact"/>
      <w:ind w:right="113"/>
    </w:pPr>
    <w:rPr>
      <w:sz w:val="18"/>
      <w:szCs w:val="20"/>
      <w:lang w:eastAsia="en-US"/>
    </w:rPr>
  </w:style>
  <w:style w:type="paragraph" w:styleId="Header">
    <w:name w:val="header"/>
    <w:basedOn w:val="Normal"/>
    <w:link w:val="HeaderChar"/>
    <w:rsid w:val="00E7452B"/>
    <w:pPr>
      <w:tabs>
        <w:tab w:val="center" w:pos="4513"/>
        <w:tab w:val="right" w:pos="9026"/>
      </w:tabs>
    </w:pPr>
  </w:style>
  <w:style w:type="character" w:customStyle="1" w:styleId="HeaderChar">
    <w:name w:val="Header Char"/>
    <w:basedOn w:val="DefaultParagraphFont"/>
    <w:link w:val="Header"/>
    <w:rsid w:val="00E7452B"/>
    <w:rPr>
      <w:sz w:val="24"/>
      <w:szCs w:val="24"/>
    </w:rPr>
  </w:style>
  <w:style w:type="paragraph" w:styleId="TOC1">
    <w:name w:val="toc 1"/>
    <w:basedOn w:val="Normal"/>
    <w:next w:val="Normal"/>
    <w:uiPriority w:val="39"/>
    <w:rsid w:val="0054328F"/>
    <w:pPr>
      <w:spacing w:before="120" w:after="0"/>
    </w:pPr>
    <w:rPr>
      <w:rFonts w:asciiTheme="minorHAnsi" w:hAnsiTheme="minorHAnsi"/>
      <w:b/>
      <w:sz w:val="24"/>
      <w:szCs w:val="24"/>
    </w:rPr>
  </w:style>
  <w:style w:type="paragraph" w:customStyle="1" w:styleId="TitleSubheading">
    <w:name w:val="Title Subheading"/>
    <w:basedOn w:val="Normal"/>
    <w:rsid w:val="0054328F"/>
    <w:pPr>
      <w:suppressAutoHyphens/>
      <w:autoSpaceDN w:val="0"/>
      <w:spacing w:after="200" w:line="276" w:lineRule="auto"/>
      <w:jc w:val="right"/>
      <w:textAlignment w:val="baseline"/>
    </w:pPr>
    <w:rPr>
      <w:rFonts w:ascii="Frutiger 45 Light" w:hAnsi="Frutiger 45 Light"/>
      <w:sz w:val="28"/>
    </w:rPr>
  </w:style>
  <w:style w:type="paragraph" w:customStyle="1" w:styleId="TableHeading0">
    <w:name w:val="Table Heading"/>
    <w:basedOn w:val="Normal"/>
    <w:rsid w:val="0054328F"/>
    <w:pPr>
      <w:suppressAutoHyphens/>
      <w:autoSpaceDN w:val="0"/>
      <w:spacing w:before="40" w:after="40" w:line="276" w:lineRule="auto"/>
      <w:jc w:val="center"/>
      <w:textAlignment w:val="baseline"/>
    </w:pPr>
    <w:rPr>
      <w:b/>
    </w:rPr>
  </w:style>
  <w:style w:type="paragraph" w:customStyle="1" w:styleId="Tabletext">
    <w:name w:val="Table text"/>
    <w:basedOn w:val="Normal"/>
    <w:rsid w:val="0054328F"/>
    <w:pPr>
      <w:suppressAutoHyphens/>
      <w:autoSpaceDN w:val="0"/>
      <w:spacing w:before="40" w:after="40" w:line="276" w:lineRule="auto"/>
      <w:textAlignment w:val="baseline"/>
    </w:pPr>
  </w:style>
  <w:style w:type="character" w:customStyle="1" w:styleId="A11">
    <w:name w:val="A11"/>
    <w:uiPriority w:val="99"/>
    <w:rsid w:val="00E04022"/>
    <w:rPr>
      <w:rFonts w:cs="Univers LT Std 45 Light"/>
      <w:color w:val="000000"/>
      <w:sz w:val="10"/>
      <w:szCs w:val="10"/>
    </w:rPr>
  </w:style>
  <w:style w:type="paragraph" w:customStyle="1" w:styleId="Pa6">
    <w:name w:val="Pa6"/>
    <w:basedOn w:val="Normal"/>
    <w:next w:val="Normal"/>
    <w:uiPriority w:val="99"/>
    <w:rsid w:val="00E04022"/>
    <w:pPr>
      <w:autoSpaceDE w:val="0"/>
      <w:autoSpaceDN w:val="0"/>
      <w:adjustRightInd w:val="0"/>
      <w:spacing w:line="181" w:lineRule="atLeast"/>
    </w:pPr>
    <w:rPr>
      <w:rFonts w:ascii="Univers LT Std 45 Light" w:eastAsiaTheme="minorHAnsi" w:hAnsi="Univers LT Std 45 Light" w:cstheme="minorBidi"/>
      <w:lang w:eastAsia="en-US"/>
    </w:rPr>
  </w:style>
  <w:style w:type="paragraph" w:styleId="Title">
    <w:name w:val="Title"/>
    <w:basedOn w:val="Normal"/>
    <w:next w:val="Normal"/>
    <w:link w:val="TitleChar"/>
    <w:uiPriority w:val="10"/>
    <w:qFormat/>
    <w:rsid w:val="00AD295D"/>
    <w:pPr>
      <w:contextualSpacing/>
    </w:pPr>
    <w:rPr>
      <w:rFonts w:eastAsiaTheme="majorEastAsia" w:cs="Arial"/>
      <w:color w:val="007377"/>
      <w:spacing w:val="-10"/>
      <w:kern w:val="28"/>
      <w:sz w:val="56"/>
      <w:szCs w:val="56"/>
    </w:rPr>
  </w:style>
  <w:style w:type="character" w:customStyle="1" w:styleId="TitleChar">
    <w:name w:val="Title Char"/>
    <w:basedOn w:val="DefaultParagraphFont"/>
    <w:link w:val="Title"/>
    <w:uiPriority w:val="10"/>
    <w:rsid w:val="00AD295D"/>
    <w:rPr>
      <w:rFonts w:eastAsiaTheme="majorEastAsia" w:cs="Arial"/>
      <w:color w:val="007377"/>
      <w:spacing w:val="-10"/>
      <w:kern w:val="28"/>
      <w:sz w:val="56"/>
      <w:szCs w:val="56"/>
    </w:rPr>
  </w:style>
  <w:style w:type="paragraph" w:styleId="Subtitle">
    <w:name w:val="Subtitle"/>
    <w:basedOn w:val="Normal"/>
    <w:next w:val="Normal"/>
    <w:link w:val="SubtitleChar"/>
    <w:qFormat/>
    <w:rsid w:val="00101557"/>
    <w:pPr>
      <w:numPr>
        <w:ilvl w:val="1"/>
      </w:numPr>
      <w:spacing w:after="160"/>
    </w:pPr>
    <w:rPr>
      <w:rFonts w:eastAsiaTheme="minorEastAsia" w:cs="Arial"/>
      <w:color w:val="007377"/>
      <w:spacing w:val="15"/>
    </w:rPr>
  </w:style>
  <w:style w:type="character" w:customStyle="1" w:styleId="SubtitleChar">
    <w:name w:val="Subtitle Char"/>
    <w:basedOn w:val="DefaultParagraphFont"/>
    <w:link w:val="Subtitle"/>
    <w:rsid w:val="00101557"/>
    <w:rPr>
      <w:rFonts w:ascii="Arial" w:eastAsiaTheme="minorEastAsia" w:hAnsi="Arial" w:cs="Arial"/>
      <w:color w:val="007377"/>
      <w:spacing w:val="15"/>
      <w:sz w:val="22"/>
      <w:szCs w:val="22"/>
    </w:rPr>
  </w:style>
  <w:style w:type="table" w:customStyle="1" w:styleId="GridTableLight">
    <w:name w:val="Grid Table Light"/>
    <w:basedOn w:val="TableNormal"/>
    <w:uiPriority w:val="40"/>
    <w:rsid w:val="00101557"/>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TableNormal"/>
    <w:uiPriority w:val="41"/>
    <w:rsid w:val="00101557"/>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2">
    <w:name w:val="toc 2"/>
    <w:basedOn w:val="Normal"/>
    <w:next w:val="Normal"/>
    <w:autoRedefine/>
    <w:uiPriority w:val="39"/>
    <w:unhideWhenUsed/>
    <w:rsid w:val="006B5B3C"/>
    <w:pPr>
      <w:spacing w:after="0"/>
      <w:ind w:left="200"/>
    </w:pPr>
    <w:rPr>
      <w:rFonts w:asciiTheme="minorHAnsi" w:hAnsiTheme="minorHAnsi"/>
      <w:b/>
      <w:sz w:val="22"/>
    </w:rPr>
  </w:style>
  <w:style w:type="paragraph" w:styleId="NoSpacing">
    <w:name w:val="No Spacing"/>
    <w:link w:val="NoSpacingChar"/>
    <w:uiPriority w:val="1"/>
    <w:qFormat/>
    <w:rsid w:val="001E644A"/>
    <w:rPr>
      <w:rFonts w:asciiTheme="minorHAnsi" w:eastAsiaTheme="minorEastAsia" w:hAnsiTheme="minorHAnsi" w:cstheme="minorBidi"/>
      <w:lang w:val="en-US" w:eastAsia="en-US"/>
    </w:rPr>
  </w:style>
  <w:style w:type="character" w:customStyle="1" w:styleId="NoSpacingChar">
    <w:name w:val="No Spacing Char"/>
    <w:basedOn w:val="DefaultParagraphFont"/>
    <w:link w:val="NoSpacing"/>
    <w:uiPriority w:val="1"/>
    <w:rsid w:val="001E644A"/>
    <w:rPr>
      <w:rFonts w:asciiTheme="minorHAnsi" w:eastAsiaTheme="minorEastAsia" w:hAnsiTheme="minorHAnsi" w:cstheme="minorBidi"/>
      <w:lang w:val="en-US" w:eastAsia="en-US"/>
    </w:rPr>
  </w:style>
  <w:style w:type="paragraph" w:styleId="FootnoteText">
    <w:name w:val="footnote text"/>
    <w:basedOn w:val="Normal"/>
    <w:link w:val="FootnoteTextChar"/>
    <w:uiPriority w:val="99"/>
    <w:unhideWhenUsed/>
    <w:rsid w:val="004F3EFC"/>
    <w:pPr>
      <w:spacing w:after="200" w:line="276" w:lineRule="auto"/>
    </w:pPr>
    <w:rPr>
      <w:rFonts w:ascii="Calibri" w:eastAsia="Calibri" w:hAnsi="Calibri"/>
      <w:szCs w:val="20"/>
      <w:lang w:eastAsia="en-US"/>
    </w:rPr>
  </w:style>
  <w:style w:type="character" w:customStyle="1" w:styleId="FootnoteTextChar">
    <w:name w:val="Footnote Text Char"/>
    <w:basedOn w:val="DefaultParagraphFont"/>
    <w:link w:val="FootnoteText"/>
    <w:uiPriority w:val="99"/>
    <w:rsid w:val="004F3EFC"/>
    <w:rPr>
      <w:rFonts w:ascii="Calibri" w:eastAsia="Calibri" w:hAnsi="Calibri"/>
      <w:sz w:val="20"/>
      <w:szCs w:val="20"/>
      <w:lang w:eastAsia="en-US"/>
    </w:rPr>
  </w:style>
  <w:style w:type="character" w:styleId="FootnoteReference">
    <w:name w:val="footnote reference"/>
    <w:uiPriority w:val="99"/>
    <w:unhideWhenUsed/>
    <w:rsid w:val="004F3EFC"/>
    <w:rPr>
      <w:vertAlign w:val="superscript"/>
    </w:rPr>
  </w:style>
  <w:style w:type="paragraph" w:styleId="Caption">
    <w:name w:val="caption"/>
    <w:basedOn w:val="Normal"/>
    <w:next w:val="Normal"/>
    <w:uiPriority w:val="35"/>
    <w:unhideWhenUsed/>
    <w:qFormat/>
    <w:rsid w:val="004F3EFC"/>
    <w:pPr>
      <w:spacing w:after="200" w:line="276" w:lineRule="auto"/>
    </w:pPr>
    <w:rPr>
      <w:rFonts w:ascii="Calibri" w:eastAsia="Calibri" w:hAnsi="Calibri"/>
      <w:b/>
      <w:bCs/>
      <w:szCs w:val="20"/>
      <w:lang w:eastAsia="en-US"/>
    </w:rPr>
  </w:style>
  <w:style w:type="character" w:customStyle="1" w:styleId="CommentSubjectChar">
    <w:name w:val="Comment Subject Char"/>
    <w:basedOn w:val="CommentTextChar"/>
    <w:link w:val="CommentSubject"/>
    <w:uiPriority w:val="99"/>
    <w:semiHidden/>
    <w:rsid w:val="004F3EFC"/>
    <w:rPr>
      <w:rFonts w:ascii="Calibri" w:eastAsia="Calibri" w:hAnsi="Calibri" w:cstheme="minorBidi"/>
      <w:b/>
      <w:bCs/>
      <w:sz w:val="20"/>
      <w:szCs w:val="20"/>
      <w:lang w:eastAsia="en-US"/>
    </w:rPr>
  </w:style>
  <w:style w:type="paragraph" w:styleId="CommentSubject">
    <w:name w:val="annotation subject"/>
    <w:basedOn w:val="CommentText"/>
    <w:next w:val="CommentText"/>
    <w:link w:val="CommentSubjectChar"/>
    <w:uiPriority w:val="99"/>
    <w:semiHidden/>
    <w:unhideWhenUsed/>
    <w:rsid w:val="004F3EFC"/>
    <w:pPr>
      <w:spacing w:line="276" w:lineRule="auto"/>
    </w:pPr>
    <w:rPr>
      <w:rFonts w:ascii="Calibri" w:eastAsia="Calibri" w:hAnsi="Calibri" w:cs="Times New Roman"/>
      <w:b/>
      <w:bCs/>
    </w:rPr>
  </w:style>
  <w:style w:type="paragraph" w:styleId="Revision">
    <w:name w:val="Revision"/>
    <w:hidden/>
    <w:uiPriority w:val="71"/>
    <w:rsid w:val="004F3EFC"/>
    <w:rPr>
      <w:rFonts w:ascii="Calibri" w:eastAsia="Calibri" w:hAnsi="Calibri"/>
      <w:lang w:eastAsia="en-US"/>
    </w:rPr>
  </w:style>
  <w:style w:type="paragraph" w:styleId="TOCHeading">
    <w:name w:val="TOC Heading"/>
    <w:basedOn w:val="Heading1"/>
    <w:next w:val="Normal"/>
    <w:uiPriority w:val="39"/>
    <w:unhideWhenUsed/>
    <w:qFormat/>
    <w:rsid w:val="00B83F6E"/>
    <w:pPr>
      <w:pageBreakBefore w:val="0"/>
      <w:numPr>
        <w:numId w:val="0"/>
      </w:numPr>
      <w:spacing w:before="480" w:after="0" w:line="276" w:lineRule="auto"/>
      <w:outlineLvl w:val="9"/>
    </w:pPr>
    <w:rPr>
      <w:rFonts w:asciiTheme="majorHAnsi" w:hAnsiTheme="majorHAnsi" w:cstheme="majorBidi"/>
      <w:b/>
      <w:color w:val="365F91" w:themeColor="accent1" w:themeShade="BF"/>
      <w:sz w:val="28"/>
      <w:szCs w:val="28"/>
      <w:lang w:val="en-US"/>
    </w:rPr>
  </w:style>
  <w:style w:type="paragraph" w:styleId="TOC3">
    <w:name w:val="toc 3"/>
    <w:basedOn w:val="Normal"/>
    <w:next w:val="Normal"/>
    <w:autoRedefine/>
    <w:uiPriority w:val="39"/>
    <w:unhideWhenUsed/>
    <w:rsid w:val="00B83F6E"/>
    <w:pPr>
      <w:spacing w:after="0"/>
      <w:ind w:left="400"/>
    </w:pPr>
    <w:rPr>
      <w:rFonts w:asciiTheme="minorHAnsi" w:hAnsiTheme="minorHAnsi"/>
      <w:sz w:val="22"/>
    </w:rPr>
  </w:style>
  <w:style w:type="paragraph" w:styleId="TOC4">
    <w:name w:val="toc 4"/>
    <w:basedOn w:val="Normal"/>
    <w:next w:val="Normal"/>
    <w:autoRedefine/>
    <w:semiHidden/>
    <w:unhideWhenUsed/>
    <w:rsid w:val="00B83F6E"/>
    <w:pPr>
      <w:spacing w:after="0"/>
      <w:ind w:left="600"/>
    </w:pPr>
    <w:rPr>
      <w:rFonts w:asciiTheme="minorHAnsi" w:hAnsiTheme="minorHAnsi"/>
      <w:szCs w:val="20"/>
    </w:rPr>
  </w:style>
  <w:style w:type="paragraph" w:styleId="TOC5">
    <w:name w:val="toc 5"/>
    <w:basedOn w:val="Normal"/>
    <w:next w:val="Normal"/>
    <w:autoRedefine/>
    <w:semiHidden/>
    <w:unhideWhenUsed/>
    <w:rsid w:val="00B83F6E"/>
    <w:pPr>
      <w:spacing w:after="0"/>
      <w:ind w:left="800"/>
    </w:pPr>
    <w:rPr>
      <w:rFonts w:asciiTheme="minorHAnsi" w:hAnsiTheme="minorHAnsi"/>
      <w:szCs w:val="20"/>
    </w:rPr>
  </w:style>
  <w:style w:type="paragraph" w:styleId="TOC6">
    <w:name w:val="toc 6"/>
    <w:basedOn w:val="Normal"/>
    <w:next w:val="Normal"/>
    <w:autoRedefine/>
    <w:semiHidden/>
    <w:unhideWhenUsed/>
    <w:rsid w:val="00B83F6E"/>
    <w:pPr>
      <w:spacing w:after="0"/>
      <w:ind w:left="1000"/>
    </w:pPr>
    <w:rPr>
      <w:rFonts w:asciiTheme="minorHAnsi" w:hAnsiTheme="minorHAnsi"/>
      <w:szCs w:val="20"/>
    </w:rPr>
  </w:style>
  <w:style w:type="paragraph" w:styleId="TOC7">
    <w:name w:val="toc 7"/>
    <w:basedOn w:val="Normal"/>
    <w:next w:val="Normal"/>
    <w:autoRedefine/>
    <w:semiHidden/>
    <w:unhideWhenUsed/>
    <w:rsid w:val="00B83F6E"/>
    <w:pPr>
      <w:spacing w:after="0"/>
      <w:ind w:left="1200"/>
    </w:pPr>
    <w:rPr>
      <w:rFonts w:asciiTheme="minorHAnsi" w:hAnsiTheme="minorHAnsi"/>
      <w:szCs w:val="20"/>
    </w:rPr>
  </w:style>
  <w:style w:type="paragraph" w:styleId="TOC8">
    <w:name w:val="toc 8"/>
    <w:basedOn w:val="Normal"/>
    <w:next w:val="Normal"/>
    <w:autoRedefine/>
    <w:semiHidden/>
    <w:unhideWhenUsed/>
    <w:rsid w:val="00B83F6E"/>
    <w:pPr>
      <w:spacing w:after="0"/>
      <w:ind w:left="1400"/>
    </w:pPr>
    <w:rPr>
      <w:rFonts w:asciiTheme="minorHAnsi" w:hAnsiTheme="minorHAnsi"/>
      <w:szCs w:val="20"/>
    </w:rPr>
  </w:style>
  <w:style w:type="paragraph" w:styleId="TOC9">
    <w:name w:val="toc 9"/>
    <w:basedOn w:val="Normal"/>
    <w:next w:val="Normal"/>
    <w:autoRedefine/>
    <w:semiHidden/>
    <w:unhideWhenUsed/>
    <w:rsid w:val="00B83F6E"/>
    <w:pPr>
      <w:spacing w:after="0"/>
      <w:ind w:left="1600"/>
    </w:pPr>
    <w:rPr>
      <w:rFonts w:asciiTheme="minorHAnsi" w:hAnsiTheme="minorHAnsi"/>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szCs w:val="22"/>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uiPriority="99"/>
    <w:lsdException w:name="annotation text" w:uiPriority="99"/>
    <w:lsdException w:name="footer" w:uiPriority="99"/>
    <w:lsdException w:name="caption" w:uiPriority="35"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lsdException w:name="Normal (Web)" w:uiPriority="99"/>
    <w:lsdException w:name="annotation subject" w:uiPriority="99"/>
    <w:lsdException w:name="No List" w:uiPriority="99"/>
    <w:lsdException w:name="Balloon Text"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34F94"/>
    <w:pPr>
      <w:spacing w:after="120"/>
    </w:pPr>
    <w:rPr>
      <w:sz w:val="20"/>
    </w:rPr>
  </w:style>
  <w:style w:type="paragraph" w:styleId="Heading1">
    <w:name w:val="heading 1"/>
    <w:basedOn w:val="Normal"/>
    <w:next w:val="Normal"/>
    <w:link w:val="Heading1Char"/>
    <w:uiPriority w:val="9"/>
    <w:qFormat/>
    <w:rsid w:val="00734F94"/>
    <w:pPr>
      <w:keepNext/>
      <w:keepLines/>
      <w:pageBreakBefore/>
      <w:numPr>
        <w:numId w:val="1"/>
      </w:numPr>
      <w:tabs>
        <w:tab w:val="clear" w:pos="1418"/>
      </w:tabs>
      <w:spacing w:before="720" w:after="240"/>
      <w:ind w:left="851" w:hanging="851"/>
      <w:outlineLvl w:val="0"/>
    </w:pPr>
    <w:rPr>
      <w:rFonts w:eastAsiaTheme="majorEastAsia" w:cs="Arial"/>
      <w:bCs/>
      <w:color w:val="007377"/>
      <w:sz w:val="36"/>
      <w:szCs w:val="36"/>
      <w:lang w:eastAsia="en-US"/>
    </w:rPr>
  </w:style>
  <w:style w:type="paragraph" w:styleId="Heading2">
    <w:name w:val="heading 2"/>
    <w:basedOn w:val="Heading1"/>
    <w:next w:val="Normal"/>
    <w:link w:val="Heading2Char"/>
    <w:uiPriority w:val="9"/>
    <w:unhideWhenUsed/>
    <w:qFormat/>
    <w:rsid w:val="00734F94"/>
    <w:pPr>
      <w:pageBreakBefore w:val="0"/>
      <w:numPr>
        <w:ilvl w:val="1"/>
      </w:numPr>
      <w:spacing w:before="360"/>
      <w:outlineLvl w:val="1"/>
    </w:pPr>
    <w:rPr>
      <w:b/>
      <w:bCs w:val="0"/>
      <w:sz w:val="20"/>
      <w:szCs w:val="22"/>
    </w:rPr>
  </w:style>
  <w:style w:type="paragraph" w:styleId="Heading3">
    <w:name w:val="heading 3"/>
    <w:basedOn w:val="Heading2"/>
    <w:next w:val="Normal"/>
    <w:link w:val="Heading3Char"/>
    <w:autoRedefine/>
    <w:uiPriority w:val="9"/>
    <w:unhideWhenUsed/>
    <w:qFormat/>
    <w:rsid w:val="00E559CA"/>
    <w:pPr>
      <w:keepLines w:val="0"/>
      <w:numPr>
        <w:ilvl w:val="2"/>
        <w:numId w:val="6"/>
      </w:numPr>
      <w:spacing w:before="240" w:after="60" w:line="276" w:lineRule="auto"/>
      <w:outlineLvl w:val="2"/>
    </w:pPr>
    <w:rPr>
      <w:b w:val="0"/>
    </w:rPr>
  </w:style>
  <w:style w:type="paragraph" w:styleId="Heading4">
    <w:name w:val="heading 4"/>
    <w:basedOn w:val="Normal"/>
    <w:next w:val="Normal"/>
    <w:link w:val="Heading4Char"/>
    <w:uiPriority w:val="9"/>
    <w:qFormat/>
    <w:rsid w:val="00734F94"/>
    <w:pPr>
      <w:keepNext/>
      <w:keepLines/>
      <w:numPr>
        <w:ilvl w:val="3"/>
        <w:numId w:val="1"/>
      </w:numPr>
      <w:tabs>
        <w:tab w:val="clear" w:pos="850"/>
      </w:tabs>
      <w:spacing w:before="240" w:after="240"/>
      <w:ind w:left="709" w:hanging="709"/>
      <w:outlineLvl w:val="3"/>
    </w:pPr>
    <w:rPr>
      <w:rFonts w:cstheme="majorBidi"/>
      <w:iCs/>
      <w:color w:val="00C996"/>
    </w:rPr>
  </w:style>
  <w:style w:type="paragraph" w:styleId="Heading5">
    <w:name w:val="heading 5"/>
    <w:basedOn w:val="Normal"/>
    <w:next w:val="Normal"/>
    <w:link w:val="Heading5Char"/>
    <w:uiPriority w:val="9"/>
    <w:semiHidden/>
    <w:unhideWhenUsed/>
    <w:qFormat/>
    <w:rsid w:val="00EA141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F3EFC"/>
    <w:pPr>
      <w:spacing w:before="240" w:after="60" w:line="276" w:lineRule="auto"/>
      <w:ind w:left="1152" w:hanging="1152"/>
      <w:outlineLvl w:val="5"/>
    </w:pPr>
    <w:rPr>
      <w:rFonts w:ascii="Calibri" w:hAnsi="Calibri"/>
      <w:b/>
      <w:bCs/>
      <w:sz w:val="22"/>
      <w:lang w:eastAsia="en-US"/>
    </w:rPr>
  </w:style>
  <w:style w:type="paragraph" w:styleId="Heading7">
    <w:name w:val="heading 7"/>
    <w:basedOn w:val="Normal"/>
    <w:next w:val="Normal"/>
    <w:link w:val="Heading7Char"/>
    <w:uiPriority w:val="9"/>
    <w:semiHidden/>
    <w:unhideWhenUsed/>
    <w:qFormat/>
    <w:rsid w:val="004F3EFC"/>
    <w:pPr>
      <w:spacing w:before="240" w:after="60" w:line="276" w:lineRule="auto"/>
      <w:ind w:left="1296" w:hanging="1296"/>
      <w:outlineLvl w:val="6"/>
    </w:pPr>
    <w:rPr>
      <w:rFonts w:ascii="Calibri" w:hAnsi="Calibri"/>
      <w:sz w:val="24"/>
      <w:szCs w:val="24"/>
      <w:lang w:eastAsia="en-US"/>
    </w:rPr>
  </w:style>
  <w:style w:type="paragraph" w:styleId="Heading8">
    <w:name w:val="heading 8"/>
    <w:basedOn w:val="Normal"/>
    <w:next w:val="Normal"/>
    <w:link w:val="Heading8Char"/>
    <w:uiPriority w:val="9"/>
    <w:semiHidden/>
    <w:unhideWhenUsed/>
    <w:qFormat/>
    <w:rsid w:val="004F3EFC"/>
    <w:pPr>
      <w:spacing w:before="240" w:after="60" w:line="276" w:lineRule="auto"/>
      <w:ind w:left="1440" w:hanging="1440"/>
      <w:outlineLvl w:val="7"/>
    </w:pPr>
    <w:rPr>
      <w:rFonts w:ascii="Calibri" w:hAnsi="Calibri"/>
      <w:i/>
      <w:iCs/>
      <w:sz w:val="24"/>
      <w:szCs w:val="24"/>
      <w:lang w:eastAsia="en-US"/>
    </w:rPr>
  </w:style>
  <w:style w:type="paragraph" w:styleId="Heading9">
    <w:name w:val="heading 9"/>
    <w:basedOn w:val="Normal"/>
    <w:next w:val="Normal"/>
    <w:link w:val="Heading9Char"/>
    <w:uiPriority w:val="9"/>
    <w:semiHidden/>
    <w:unhideWhenUsed/>
    <w:qFormat/>
    <w:rsid w:val="004F3EFC"/>
    <w:pPr>
      <w:spacing w:before="240" w:after="60" w:line="276" w:lineRule="auto"/>
      <w:ind w:left="1584" w:hanging="1584"/>
      <w:outlineLvl w:val="8"/>
    </w:pPr>
    <w:rPr>
      <w:rFonts w:ascii="Cambria" w:hAnsi="Cambria"/>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F94"/>
    <w:rPr>
      <w:rFonts w:eastAsiaTheme="majorEastAsia" w:cs="Arial"/>
      <w:bCs/>
      <w:color w:val="007377"/>
      <w:sz w:val="36"/>
      <w:szCs w:val="36"/>
      <w:lang w:eastAsia="en-US"/>
    </w:rPr>
  </w:style>
  <w:style w:type="character" w:customStyle="1" w:styleId="Heading2Char">
    <w:name w:val="Heading 2 Char"/>
    <w:basedOn w:val="DefaultParagraphFont"/>
    <w:link w:val="Heading2"/>
    <w:uiPriority w:val="9"/>
    <w:rsid w:val="00734F94"/>
    <w:rPr>
      <w:rFonts w:eastAsiaTheme="majorEastAsia" w:cs="Arial"/>
      <w:b/>
      <w:color w:val="007377"/>
      <w:sz w:val="20"/>
      <w:lang w:eastAsia="en-US"/>
    </w:rPr>
  </w:style>
  <w:style w:type="character" w:customStyle="1" w:styleId="Heading3Char">
    <w:name w:val="Heading 3 Char"/>
    <w:basedOn w:val="DefaultParagraphFont"/>
    <w:link w:val="Heading3"/>
    <w:uiPriority w:val="9"/>
    <w:rsid w:val="00E559CA"/>
    <w:rPr>
      <w:rFonts w:eastAsiaTheme="majorEastAsia" w:cs="Arial"/>
      <w:color w:val="007377"/>
      <w:sz w:val="20"/>
      <w:lang w:eastAsia="en-US"/>
    </w:rPr>
  </w:style>
  <w:style w:type="character" w:customStyle="1" w:styleId="Heading4Char">
    <w:name w:val="Heading 4 Char"/>
    <w:basedOn w:val="DefaultParagraphFont"/>
    <w:link w:val="Heading4"/>
    <w:uiPriority w:val="9"/>
    <w:rsid w:val="00734F94"/>
    <w:rPr>
      <w:rFonts w:cstheme="majorBidi"/>
      <w:iCs/>
      <w:color w:val="00C996"/>
      <w:sz w:val="20"/>
    </w:rPr>
  </w:style>
  <w:style w:type="character" w:customStyle="1" w:styleId="Heading5Char">
    <w:name w:val="Heading 5 Char"/>
    <w:basedOn w:val="DefaultParagraphFont"/>
    <w:link w:val="Heading5"/>
    <w:uiPriority w:val="9"/>
    <w:semiHidden/>
    <w:rsid w:val="00EA1419"/>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4F3EFC"/>
    <w:rPr>
      <w:rFonts w:ascii="Calibri" w:hAnsi="Calibri"/>
      <w:b/>
      <w:bCs/>
      <w:lang w:eastAsia="en-US"/>
    </w:rPr>
  </w:style>
  <w:style w:type="character" w:customStyle="1" w:styleId="Heading7Char">
    <w:name w:val="Heading 7 Char"/>
    <w:basedOn w:val="DefaultParagraphFont"/>
    <w:link w:val="Heading7"/>
    <w:uiPriority w:val="9"/>
    <w:semiHidden/>
    <w:rsid w:val="004F3EFC"/>
    <w:rPr>
      <w:rFonts w:ascii="Calibri" w:hAnsi="Calibri"/>
      <w:sz w:val="24"/>
      <w:szCs w:val="24"/>
      <w:lang w:eastAsia="en-US"/>
    </w:rPr>
  </w:style>
  <w:style w:type="character" w:customStyle="1" w:styleId="Heading8Char">
    <w:name w:val="Heading 8 Char"/>
    <w:basedOn w:val="DefaultParagraphFont"/>
    <w:link w:val="Heading8"/>
    <w:uiPriority w:val="9"/>
    <w:semiHidden/>
    <w:rsid w:val="004F3EFC"/>
    <w:rPr>
      <w:rFonts w:ascii="Calibri" w:hAnsi="Calibri"/>
      <w:i/>
      <w:iCs/>
      <w:sz w:val="24"/>
      <w:szCs w:val="24"/>
      <w:lang w:eastAsia="en-US"/>
    </w:rPr>
  </w:style>
  <w:style w:type="character" w:customStyle="1" w:styleId="Heading9Char">
    <w:name w:val="Heading 9 Char"/>
    <w:basedOn w:val="DefaultParagraphFont"/>
    <w:link w:val="Heading9"/>
    <w:uiPriority w:val="9"/>
    <w:semiHidden/>
    <w:rsid w:val="004F3EFC"/>
    <w:rPr>
      <w:rFonts w:ascii="Cambria" w:hAnsi="Cambria"/>
      <w:lang w:eastAsia="en-US"/>
    </w:rPr>
  </w:style>
  <w:style w:type="paragraph" w:styleId="ListParagraph">
    <w:name w:val="List Paragraph"/>
    <w:basedOn w:val="Normal"/>
    <w:uiPriority w:val="72"/>
    <w:qFormat/>
    <w:rsid w:val="00101557"/>
    <w:pPr>
      <w:numPr>
        <w:numId w:val="2"/>
      </w:numPr>
      <w:spacing w:after="240"/>
    </w:pPr>
    <w:rPr>
      <w:rFonts w:eastAsiaTheme="minorHAnsi" w:cs="Arial"/>
      <w:lang w:eastAsia="en-US"/>
    </w:rPr>
  </w:style>
  <w:style w:type="paragraph" w:customStyle="1" w:styleId="Advice">
    <w:name w:val="Advice"/>
    <w:basedOn w:val="Normal"/>
    <w:qFormat/>
    <w:rsid w:val="00AD295D"/>
    <w:rPr>
      <w:rFonts w:eastAsiaTheme="minorHAnsi" w:cs="Arial"/>
      <w:color w:val="007377"/>
      <w:lang w:eastAsia="en-US"/>
    </w:rPr>
  </w:style>
  <w:style w:type="paragraph" w:styleId="NormalWeb">
    <w:name w:val="Normal (Web)"/>
    <w:basedOn w:val="Normal"/>
    <w:uiPriority w:val="99"/>
    <w:unhideWhenUsed/>
    <w:rsid w:val="00F1274B"/>
    <w:pPr>
      <w:spacing w:before="100" w:beforeAutospacing="1" w:after="100" w:afterAutospacing="1"/>
    </w:pPr>
  </w:style>
  <w:style w:type="character" w:styleId="Strong">
    <w:name w:val="Strong"/>
    <w:basedOn w:val="DefaultParagraphFont"/>
    <w:uiPriority w:val="22"/>
    <w:qFormat/>
    <w:rsid w:val="00726E8D"/>
    <w:rPr>
      <w:rFonts w:ascii="Arial" w:hAnsi="Arial"/>
      <w:b/>
      <w:bCs/>
      <w:sz w:val="22"/>
    </w:rPr>
  </w:style>
  <w:style w:type="character" w:styleId="Emphasis">
    <w:name w:val="Emphasis"/>
    <w:basedOn w:val="DefaultParagraphFont"/>
    <w:uiPriority w:val="20"/>
    <w:rsid w:val="00F1274B"/>
    <w:rPr>
      <w:i/>
      <w:iCs/>
    </w:rPr>
  </w:style>
  <w:style w:type="character" w:styleId="Hyperlink">
    <w:name w:val="Hyperlink"/>
    <w:basedOn w:val="DefaultParagraphFont"/>
    <w:uiPriority w:val="99"/>
    <w:unhideWhenUsed/>
    <w:rsid w:val="006402E3"/>
    <w:rPr>
      <w:color w:val="0000FF"/>
      <w:u w:val="single"/>
    </w:rPr>
  </w:style>
  <w:style w:type="paragraph" w:customStyle="1" w:styleId="Default">
    <w:name w:val="Default"/>
    <w:rsid w:val="002B69D1"/>
    <w:pPr>
      <w:autoSpaceDE w:val="0"/>
      <w:autoSpaceDN w:val="0"/>
      <w:adjustRightInd w:val="0"/>
    </w:pPr>
    <w:rPr>
      <w:rFonts w:eastAsiaTheme="minorHAnsi" w:cs="Arial"/>
      <w:color w:val="000000"/>
      <w:sz w:val="24"/>
      <w:szCs w:val="24"/>
      <w:lang w:eastAsia="en-US"/>
    </w:rPr>
  </w:style>
  <w:style w:type="table" w:styleId="TableGrid">
    <w:name w:val="Table Grid"/>
    <w:basedOn w:val="TableNormal"/>
    <w:uiPriority w:val="59"/>
    <w:rsid w:val="00303643"/>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raphic">
    <w:name w:val="Graphic"/>
    <w:basedOn w:val="Normal"/>
    <w:rsid w:val="007D5B32"/>
    <w:pPr>
      <w:keepNext/>
      <w:overflowPunct w:val="0"/>
      <w:autoSpaceDE w:val="0"/>
      <w:autoSpaceDN w:val="0"/>
      <w:adjustRightInd w:val="0"/>
      <w:spacing w:after="130"/>
      <w:jc w:val="center"/>
      <w:textAlignment w:val="baseline"/>
    </w:pPr>
    <w:rPr>
      <w:sz w:val="22"/>
      <w:szCs w:val="20"/>
      <w:lang w:eastAsia="en-US"/>
    </w:rPr>
  </w:style>
  <w:style w:type="paragraph" w:customStyle="1" w:styleId="Bullet">
    <w:name w:val="Bullet"/>
    <w:aliases w:val="bl,Bullet L1,bl1"/>
    <w:basedOn w:val="Normal"/>
    <w:rsid w:val="007D5B32"/>
    <w:pPr>
      <w:numPr>
        <w:numId w:val="3"/>
      </w:numPr>
      <w:tabs>
        <w:tab w:val="clear" w:pos="360"/>
      </w:tabs>
      <w:overflowPunct w:val="0"/>
      <w:autoSpaceDE w:val="0"/>
      <w:autoSpaceDN w:val="0"/>
      <w:adjustRightInd w:val="0"/>
      <w:spacing w:after="130"/>
      <w:ind w:left="357" w:hanging="357"/>
      <w:jc w:val="both"/>
      <w:textAlignment w:val="baseline"/>
    </w:pPr>
    <w:rPr>
      <w:sz w:val="22"/>
      <w:szCs w:val="20"/>
      <w:lang w:eastAsia="en-US"/>
    </w:rPr>
  </w:style>
  <w:style w:type="paragraph" w:customStyle="1" w:styleId="ReduceLine">
    <w:name w:val="Reduce Line"/>
    <w:basedOn w:val="Normal"/>
    <w:rsid w:val="007D5B32"/>
    <w:pPr>
      <w:overflowPunct w:val="0"/>
      <w:autoSpaceDE w:val="0"/>
      <w:autoSpaceDN w:val="0"/>
      <w:adjustRightInd w:val="0"/>
      <w:spacing w:after="60" w:line="60" w:lineRule="exact"/>
      <w:textAlignment w:val="baseline"/>
    </w:pPr>
    <w:rPr>
      <w:sz w:val="22"/>
      <w:szCs w:val="20"/>
      <w:lang w:eastAsia="en-US"/>
    </w:rPr>
  </w:style>
  <w:style w:type="paragraph" w:styleId="Footer">
    <w:name w:val="footer"/>
    <w:basedOn w:val="Normal"/>
    <w:link w:val="FooterChar"/>
    <w:uiPriority w:val="99"/>
    <w:unhideWhenUsed/>
    <w:rsid w:val="00E77571"/>
    <w:pPr>
      <w:tabs>
        <w:tab w:val="center" w:pos="4513"/>
        <w:tab w:val="right" w:pos="9026"/>
      </w:tabs>
    </w:pPr>
    <w:rPr>
      <w:rFonts w:eastAsiaTheme="minorHAnsi" w:cstheme="minorBidi"/>
      <w:sz w:val="22"/>
      <w:lang w:eastAsia="en-US"/>
    </w:rPr>
  </w:style>
  <w:style w:type="character" w:customStyle="1" w:styleId="FooterChar">
    <w:name w:val="Footer Char"/>
    <w:basedOn w:val="DefaultParagraphFont"/>
    <w:link w:val="Footer"/>
    <w:uiPriority w:val="99"/>
    <w:rsid w:val="00E77571"/>
    <w:rPr>
      <w:rFonts w:ascii="Arial" w:eastAsiaTheme="minorHAnsi" w:hAnsi="Arial" w:cstheme="minorBidi"/>
      <w:sz w:val="22"/>
      <w:szCs w:val="22"/>
      <w:lang w:eastAsia="en-US"/>
    </w:rPr>
  </w:style>
  <w:style w:type="paragraph" w:styleId="BalloonText">
    <w:name w:val="Balloon Text"/>
    <w:basedOn w:val="Normal"/>
    <w:link w:val="BalloonTextChar"/>
    <w:uiPriority w:val="99"/>
    <w:rsid w:val="00E77571"/>
    <w:rPr>
      <w:rFonts w:ascii="Tahoma" w:hAnsi="Tahoma" w:cs="Tahoma"/>
      <w:sz w:val="16"/>
      <w:szCs w:val="16"/>
    </w:rPr>
  </w:style>
  <w:style w:type="character" w:customStyle="1" w:styleId="BalloonTextChar">
    <w:name w:val="Balloon Text Char"/>
    <w:basedOn w:val="DefaultParagraphFont"/>
    <w:link w:val="BalloonText"/>
    <w:uiPriority w:val="99"/>
    <w:rsid w:val="00E77571"/>
    <w:rPr>
      <w:rFonts w:ascii="Tahoma" w:hAnsi="Tahoma" w:cs="Tahoma"/>
      <w:sz w:val="16"/>
      <w:szCs w:val="16"/>
    </w:rPr>
  </w:style>
  <w:style w:type="paragraph" w:styleId="CommentText">
    <w:name w:val="annotation text"/>
    <w:basedOn w:val="Normal"/>
    <w:link w:val="CommentTextChar"/>
    <w:uiPriority w:val="99"/>
    <w:unhideWhenUsed/>
    <w:rsid w:val="00676A92"/>
    <w:pPr>
      <w:spacing w:after="200"/>
    </w:pPr>
    <w:rPr>
      <w:rFonts w:asciiTheme="minorHAnsi" w:eastAsiaTheme="minorHAnsi" w:hAnsiTheme="minorHAnsi" w:cstheme="minorBidi"/>
      <w:szCs w:val="20"/>
      <w:lang w:eastAsia="en-US"/>
    </w:rPr>
  </w:style>
  <w:style w:type="character" w:customStyle="1" w:styleId="CommentTextChar">
    <w:name w:val="Comment Text Char"/>
    <w:basedOn w:val="DefaultParagraphFont"/>
    <w:link w:val="CommentText"/>
    <w:uiPriority w:val="99"/>
    <w:rsid w:val="00676A92"/>
    <w:rPr>
      <w:rFonts w:asciiTheme="minorHAnsi" w:eastAsiaTheme="minorHAnsi" w:hAnsiTheme="minorHAnsi" w:cstheme="minorBidi"/>
      <w:lang w:eastAsia="en-US"/>
    </w:rPr>
  </w:style>
  <w:style w:type="paragraph" w:customStyle="1" w:styleId="Bodycopy">
    <w:name w:val="Body copy"/>
    <w:basedOn w:val="Normal"/>
    <w:rsid w:val="00D55DC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uppressAutoHyphens/>
      <w:spacing w:after="100"/>
      <w:ind w:left="709"/>
      <w:jc w:val="both"/>
    </w:pPr>
    <w:rPr>
      <w:rFonts w:ascii="Frutiger LT Std 45 Light" w:eastAsia="ヒラギノ角ゴ Pro W3" w:hAnsi="Frutiger LT Std 45 Light"/>
      <w:color w:val="394A58"/>
      <w:kern w:val="1"/>
      <w:szCs w:val="20"/>
    </w:rPr>
  </w:style>
  <w:style w:type="paragraph" w:customStyle="1" w:styleId="Bulletlist">
    <w:name w:val="Bullet list"/>
    <w:rsid w:val="00D55DCC"/>
    <w:pPr>
      <w:tabs>
        <w:tab w:val="left" w:pos="709"/>
      </w:tabs>
      <w:suppressAutoHyphens/>
      <w:spacing w:after="40"/>
      <w:jc w:val="both"/>
    </w:pPr>
    <w:rPr>
      <w:rFonts w:ascii="Frutiger LT Std 45 Light" w:eastAsia="ヒラギノ角ゴ Pro W3" w:hAnsi="Frutiger LT Std 45 Light"/>
      <w:color w:val="394A58"/>
      <w:lang w:val="en-US"/>
    </w:rPr>
  </w:style>
  <w:style w:type="paragraph" w:customStyle="1" w:styleId="Tableheading">
    <w:name w:val="Table: heading"/>
    <w:basedOn w:val="Normal"/>
    <w:rsid w:val="00D55DCC"/>
    <w:pPr>
      <w:keepNext/>
      <w:spacing w:before="40" w:after="40" w:line="280" w:lineRule="exact"/>
      <w:ind w:right="113"/>
    </w:pPr>
    <w:rPr>
      <w:i/>
      <w:sz w:val="18"/>
      <w:szCs w:val="20"/>
      <w:lang w:eastAsia="en-US"/>
    </w:rPr>
  </w:style>
  <w:style w:type="paragraph" w:customStyle="1" w:styleId="Tablecells">
    <w:name w:val="Table: cells"/>
    <w:basedOn w:val="Normal"/>
    <w:rsid w:val="00D55DCC"/>
    <w:pPr>
      <w:keepNext/>
      <w:spacing w:before="40" w:after="40" w:line="240" w:lineRule="exact"/>
      <w:ind w:right="113"/>
    </w:pPr>
    <w:rPr>
      <w:sz w:val="18"/>
      <w:szCs w:val="20"/>
      <w:lang w:eastAsia="en-US"/>
    </w:rPr>
  </w:style>
  <w:style w:type="paragraph" w:styleId="Header">
    <w:name w:val="header"/>
    <w:basedOn w:val="Normal"/>
    <w:link w:val="HeaderChar"/>
    <w:rsid w:val="00E7452B"/>
    <w:pPr>
      <w:tabs>
        <w:tab w:val="center" w:pos="4513"/>
        <w:tab w:val="right" w:pos="9026"/>
      </w:tabs>
    </w:pPr>
  </w:style>
  <w:style w:type="character" w:customStyle="1" w:styleId="HeaderChar">
    <w:name w:val="Header Char"/>
    <w:basedOn w:val="DefaultParagraphFont"/>
    <w:link w:val="Header"/>
    <w:rsid w:val="00E7452B"/>
    <w:rPr>
      <w:sz w:val="24"/>
      <w:szCs w:val="24"/>
    </w:rPr>
  </w:style>
  <w:style w:type="paragraph" w:styleId="TOC1">
    <w:name w:val="toc 1"/>
    <w:basedOn w:val="Normal"/>
    <w:next w:val="Normal"/>
    <w:uiPriority w:val="39"/>
    <w:rsid w:val="0054328F"/>
    <w:pPr>
      <w:spacing w:before="120" w:after="0"/>
    </w:pPr>
    <w:rPr>
      <w:rFonts w:asciiTheme="minorHAnsi" w:hAnsiTheme="minorHAnsi"/>
      <w:b/>
      <w:sz w:val="24"/>
      <w:szCs w:val="24"/>
    </w:rPr>
  </w:style>
  <w:style w:type="paragraph" w:customStyle="1" w:styleId="TitleSubheading">
    <w:name w:val="Title Subheading"/>
    <w:basedOn w:val="Normal"/>
    <w:rsid w:val="0054328F"/>
    <w:pPr>
      <w:suppressAutoHyphens/>
      <w:autoSpaceDN w:val="0"/>
      <w:spacing w:after="200" w:line="276" w:lineRule="auto"/>
      <w:jc w:val="right"/>
      <w:textAlignment w:val="baseline"/>
    </w:pPr>
    <w:rPr>
      <w:rFonts w:ascii="Frutiger 45 Light" w:hAnsi="Frutiger 45 Light"/>
      <w:sz w:val="28"/>
    </w:rPr>
  </w:style>
  <w:style w:type="paragraph" w:customStyle="1" w:styleId="TableHeading0">
    <w:name w:val="Table Heading"/>
    <w:basedOn w:val="Normal"/>
    <w:rsid w:val="0054328F"/>
    <w:pPr>
      <w:suppressAutoHyphens/>
      <w:autoSpaceDN w:val="0"/>
      <w:spacing w:before="40" w:after="40" w:line="276" w:lineRule="auto"/>
      <w:jc w:val="center"/>
      <w:textAlignment w:val="baseline"/>
    </w:pPr>
    <w:rPr>
      <w:b/>
    </w:rPr>
  </w:style>
  <w:style w:type="paragraph" w:customStyle="1" w:styleId="Tabletext">
    <w:name w:val="Table text"/>
    <w:basedOn w:val="Normal"/>
    <w:rsid w:val="0054328F"/>
    <w:pPr>
      <w:suppressAutoHyphens/>
      <w:autoSpaceDN w:val="0"/>
      <w:spacing w:before="40" w:after="40" w:line="276" w:lineRule="auto"/>
      <w:textAlignment w:val="baseline"/>
    </w:pPr>
  </w:style>
  <w:style w:type="character" w:customStyle="1" w:styleId="A11">
    <w:name w:val="A11"/>
    <w:uiPriority w:val="99"/>
    <w:rsid w:val="00E04022"/>
    <w:rPr>
      <w:rFonts w:cs="Univers LT Std 45 Light"/>
      <w:color w:val="000000"/>
      <w:sz w:val="10"/>
      <w:szCs w:val="10"/>
    </w:rPr>
  </w:style>
  <w:style w:type="paragraph" w:customStyle="1" w:styleId="Pa6">
    <w:name w:val="Pa6"/>
    <w:basedOn w:val="Normal"/>
    <w:next w:val="Normal"/>
    <w:uiPriority w:val="99"/>
    <w:rsid w:val="00E04022"/>
    <w:pPr>
      <w:autoSpaceDE w:val="0"/>
      <w:autoSpaceDN w:val="0"/>
      <w:adjustRightInd w:val="0"/>
      <w:spacing w:line="181" w:lineRule="atLeast"/>
    </w:pPr>
    <w:rPr>
      <w:rFonts w:ascii="Univers LT Std 45 Light" w:eastAsiaTheme="minorHAnsi" w:hAnsi="Univers LT Std 45 Light" w:cstheme="minorBidi"/>
      <w:lang w:eastAsia="en-US"/>
    </w:rPr>
  </w:style>
  <w:style w:type="paragraph" w:styleId="Title">
    <w:name w:val="Title"/>
    <w:basedOn w:val="Normal"/>
    <w:next w:val="Normal"/>
    <w:link w:val="TitleChar"/>
    <w:uiPriority w:val="10"/>
    <w:qFormat/>
    <w:rsid w:val="00AD295D"/>
    <w:pPr>
      <w:contextualSpacing/>
    </w:pPr>
    <w:rPr>
      <w:rFonts w:eastAsiaTheme="majorEastAsia" w:cs="Arial"/>
      <w:color w:val="007377"/>
      <w:spacing w:val="-10"/>
      <w:kern w:val="28"/>
      <w:sz w:val="56"/>
      <w:szCs w:val="56"/>
    </w:rPr>
  </w:style>
  <w:style w:type="character" w:customStyle="1" w:styleId="TitleChar">
    <w:name w:val="Title Char"/>
    <w:basedOn w:val="DefaultParagraphFont"/>
    <w:link w:val="Title"/>
    <w:uiPriority w:val="10"/>
    <w:rsid w:val="00AD295D"/>
    <w:rPr>
      <w:rFonts w:eastAsiaTheme="majorEastAsia" w:cs="Arial"/>
      <w:color w:val="007377"/>
      <w:spacing w:val="-10"/>
      <w:kern w:val="28"/>
      <w:sz w:val="56"/>
      <w:szCs w:val="56"/>
    </w:rPr>
  </w:style>
  <w:style w:type="paragraph" w:styleId="Subtitle">
    <w:name w:val="Subtitle"/>
    <w:basedOn w:val="Normal"/>
    <w:next w:val="Normal"/>
    <w:link w:val="SubtitleChar"/>
    <w:qFormat/>
    <w:rsid w:val="00101557"/>
    <w:pPr>
      <w:numPr>
        <w:ilvl w:val="1"/>
      </w:numPr>
      <w:spacing w:after="160"/>
    </w:pPr>
    <w:rPr>
      <w:rFonts w:eastAsiaTheme="minorEastAsia" w:cs="Arial"/>
      <w:color w:val="007377"/>
      <w:spacing w:val="15"/>
    </w:rPr>
  </w:style>
  <w:style w:type="character" w:customStyle="1" w:styleId="SubtitleChar">
    <w:name w:val="Subtitle Char"/>
    <w:basedOn w:val="DefaultParagraphFont"/>
    <w:link w:val="Subtitle"/>
    <w:rsid w:val="00101557"/>
    <w:rPr>
      <w:rFonts w:ascii="Arial" w:eastAsiaTheme="minorEastAsia" w:hAnsi="Arial" w:cs="Arial"/>
      <w:color w:val="007377"/>
      <w:spacing w:val="15"/>
      <w:sz w:val="22"/>
      <w:szCs w:val="22"/>
    </w:rPr>
  </w:style>
  <w:style w:type="table" w:customStyle="1" w:styleId="GridTableLight">
    <w:name w:val="Grid Table Light"/>
    <w:basedOn w:val="TableNormal"/>
    <w:uiPriority w:val="40"/>
    <w:rsid w:val="00101557"/>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TableNormal"/>
    <w:uiPriority w:val="41"/>
    <w:rsid w:val="00101557"/>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2">
    <w:name w:val="toc 2"/>
    <w:basedOn w:val="Normal"/>
    <w:next w:val="Normal"/>
    <w:autoRedefine/>
    <w:uiPriority w:val="39"/>
    <w:unhideWhenUsed/>
    <w:rsid w:val="006B5B3C"/>
    <w:pPr>
      <w:spacing w:after="0"/>
      <w:ind w:left="200"/>
    </w:pPr>
    <w:rPr>
      <w:rFonts w:asciiTheme="minorHAnsi" w:hAnsiTheme="minorHAnsi"/>
      <w:b/>
      <w:sz w:val="22"/>
    </w:rPr>
  </w:style>
  <w:style w:type="paragraph" w:styleId="NoSpacing">
    <w:name w:val="No Spacing"/>
    <w:link w:val="NoSpacingChar"/>
    <w:uiPriority w:val="1"/>
    <w:qFormat/>
    <w:rsid w:val="001E644A"/>
    <w:rPr>
      <w:rFonts w:asciiTheme="minorHAnsi" w:eastAsiaTheme="minorEastAsia" w:hAnsiTheme="minorHAnsi" w:cstheme="minorBidi"/>
      <w:lang w:val="en-US" w:eastAsia="en-US"/>
    </w:rPr>
  </w:style>
  <w:style w:type="character" w:customStyle="1" w:styleId="NoSpacingChar">
    <w:name w:val="No Spacing Char"/>
    <w:basedOn w:val="DefaultParagraphFont"/>
    <w:link w:val="NoSpacing"/>
    <w:uiPriority w:val="1"/>
    <w:rsid w:val="001E644A"/>
    <w:rPr>
      <w:rFonts w:asciiTheme="minorHAnsi" w:eastAsiaTheme="minorEastAsia" w:hAnsiTheme="minorHAnsi" w:cstheme="minorBidi"/>
      <w:lang w:val="en-US" w:eastAsia="en-US"/>
    </w:rPr>
  </w:style>
  <w:style w:type="paragraph" w:styleId="FootnoteText">
    <w:name w:val="footnote text"/>
    <w:basedOn w:val="Normal"/>
    <w:link w:val="FootnoteTextChar"/>
    <w:uiPriority w:val="99"/>
    <w:unhideWhenUsed/>
    <w:rsid w:val="004F3EFC"/>
    <w:pPr>
      <w:spacing w:after="200" w:line="276" w:lineRule="auto"/>
    </w:pPr>
    <w:rPr>
      <w:rFonts w:ascii="Calibri" w:eastAsia="Calibri" w:hAnsi="Calibri"/>
      <w:szCs w:val="20"/>
      <w:lang w:eastAsia="en-US"/>
    </w:rPr>
  </w:style>
  <w:style w:type="character" w:customStyle="1" w:styleId="FootnoteTextChar">
    <w:name w:val="Footnote Text Char"/>
    <w:basedOn w:val="DefaultParagraphFont"/>
    <w:link w:val="FootnoteText"/>
    <w:uiPriority w:val="99"/>
    <w:rsid w:val="004F3EFC"/>
    <w:rPr>
      <w:rFonts w:ascii="Calibri" w:eastAsia="Calibri" w:hAnsi="Calibri"/>
      <w:sz w:val="20"/>
      <w:szCs w:val="20"/>
      <w:lang w:eastAsia="en-US"/>
    </w:rPr>
  </w:style>
  <w:style w:type="character" w:styleId="FootnoteReference">
    <w:name w:val="footnote reference"/>
    <w:uiPriority w:val="99"/>
    <w:unhideWhenUsed/>
    <w:rsid w:val="004F3EFC"/>
    <w:rPr>
      <w:vertAlign w:val="superscript"/>
    </w:rPr>
  </w:style>
  <w:style w:type="paragraph" w:styleId="Caption">
    <w:name w:val="caption"/>
    <w:basedOn w:val="Normal"/>
    <w:next w:val="Normal"/>
    <w:uiPriority w:val="35"/>
    <w:unhideWhenUsed/>
    <w:qFormat/>
    <w:rsid w:val="004F3EFC"/>
    <w:pPr>
      <w:spacing w:after="200" w:line="276" w:lineRule="auto"/>
    </w:pPr>
    <w:rPr>
      <w:rFonts w:ascii="Calibri" w:eastAsia="Calibri" w:hAnsi="Calibri"/>
      <w:b/>
      <w:bCs/>
      <w:szCs w:val="20"/>
      <w:lang w:eastAsia="en-US"/>
    </w:rPr>
  </w:style>
  <w:style w:type="character" w:customStyle="1" w:styleId="CommentSubjectChar">
    <w:name w:val="Comment Subject Char"/>
    <w:basedOn w:val="CommentTextChar"/>
    <w:link w:val="CommentSubject"/>
    <w:uiPriority w:val="99"/>
    <w:semiHidden/>
    <w:rsid w:val="004F3EFC"/>
    <w:rPr>
      <w:rFonts w:ascii="Calibri" w:eastAsia="Calibri" w:hAnsi="Calibri" w:cstheme="minorBidi"/>
      <w:b/>
      <w:bCs/>
      <w:sz w:val="20"/>
      <w:szCs w:val="20"/>
      <w:lang w:eastAsia="en-US"/>
    </w:rPr>
  </w:style>
  <w:style w:type="paragraph" w:styleId="CommentSubject">
    <w:name w:val="annotation subject"/>
    <w:basedOn w:val="CommentText"/>
    <w:next w:val="CommentText"/>
    <w:link w:val="CommentSubjectChar"/>
    <w:uiPriority w:val="99"/>
    <w:semiHidden/>
    <w:unhideWhenUsed/>
    <w:rsid w:val="004F3EFC"/>
    <w:pPr>
      <w:spacing w:line="276" w:lineRule="auto"/>
    </w:pPr>
    <w:rPr>
      <w:rFonts w:ascii="Calibri" w:eastAsia="Calibri" w:hAnsi="Calibri" w:cs="Times New Roman"/>
      <w:b/>
      <w:bCs/>
    </w:rPr>
  </w:style>
  <w:style w:type="paragraph" w:styleId="Revision">
    <w:name w:val="Revision"/>
    <w:hidden/>
    <w:uiPriority w:val="71"/>
    <w:rsid w:val="004F3EFC"/>
    <w:rPr>
      <w:rFonts w:ascii="Calibri" w:eastAsia="Calibri" w:hAnsi="Calibri"/>
      <w:lang w:eastAsia="en-US"/>
    </w:rPr>
  </w:style>
  <w:style w:type="paragraph" w:styleId="TOCHeading">
    <w:name w:val="TOC Heading"/>
    <w:basedOn w:val="Heading1"/>
    <w:next w:val="Normal"/>
    <w:uiPriority w:val="39"/>
    <w:unhideWhenUsed/>
    <w:qFormat/>
    <w:rsid w:val="00B83F6E"/>
    <w:pPr>
      <w:pageBreakBefore w:val="0"/>
      <w:numPr>
        <w:numId w:val="0"/>
      </w:numPr>
      <w:spacing w:before="480" w:after="0" w:line="276" w:lineRule="auto"/>
      <w:outlineLvl w:val="9"/>
    </w:pPr>
    <w:rPr>
      <w:rFonts w:asciiTheme="majorHAnsi" w:hAnsiTheme="majorHAnsi" w:cstheme="majorBidi"/>
      <w:b/>
      <w:color w:val="365F91" w:themeColor="accent1" w:themeShade="BF"/>
      <w:sz w:val="28"/>
      <w:szCs w:val="28"/>
      <w:lang w:val="en-US"/>
    </w:rPr>
  </w:style>
  <w:style w:type="paragraph" w:styleId="TOC3">
    <w:name w:val="toc 3"/>
    <w:basedOn w:val="Normal"/>
    <w:next w:val="Normal"/>
    <w:autoRedefine/>
    <w:uiPriority w:val="39"/>
    <w:unhideWhenUsed/>
    <w:rsid w:val="00B83F6E"/>
    <w:pPr>
      <w:spacing w:after="0"/>
      <w:ind w:left="400"/>
    </w:pPr>
    <w:rPr>
      <w:rFonts w:asciiTheme="minorHAnsi" w:hAnsiTheme="minorHAnsi"/>
      <w:sz w:val="22"/>
    </w:rPr>
  </w:style>
  <w:style w:type="paragraph" w:styleId="TOC4">
    <w:name w:val="toc 4"/>
    <w:basedOn w:val="Normal"/>
    <w:next w:val="Normal"/>
    <w:autoRedefine/>
    <w:semiHidden/>
    <w:unhideWhenUsed/>
    <w:rsid w:val="00B83F6E"/>
    <w:pPr>
      <w:spacing w:after="0"/>
      <w:ind w:left="600"/>
    </w:pPr>
    <w:rPr>
      <w:rFonts w:asciiTheme="minorHAnsi" w:hAnsiTheme="minorHAnsi"/>
      <w:szCs w:val="20"/>
    </w:rPr>
  </w:style>
  <w:style w:type="paragraph" w:styleId="TOC5">
    <w:name w:val="toc 5"/>
    <w:basedOn w:val="Normal"/>
    <w:next w:val="Normal"/>
    <w:autoRedefine/>
    <w:semiHidden/>
    <w:unhideWhenUsed/>
    <w:rsid w:val="00B83F6E"/>
    <w:pPr>
      <w:spacing w:after="0"/>
      <w:ind w:left="800"/>
    </w:pPr>
    <w:rPr>
      <w:rFonts w:asciiTheme="minorHAnsi" w:hAnsiTheme="minorHAnsi"/>
      <w:szCs w:val="20"/>
    </w:rPr>
  </w:style>
  <w:style w:type="paragraph" w:styleId="TOC6">
    <w:name w:val="toc 6"/>
    <w:basedOn w:val="Normal"/>
    <w:next w:val="Normal"/>
    <w:autoRedefine/>
    <w:semiHidden/>
    <w:unhideWhenUsed/>
    <w:rsid w:val="00B83F6E"/>
    <w:pPr>
      <w:spacing w:after="0"/>
      <w:ind w:left="1000"/>
    </w:pPr>
    <w:rPr>
      <w:rFonts w:asciiTheme="minorHAnsi" w:hAnsiTheme="minorHAnsi"/>
      <w:szCs w:val="20"/>
    </w:rPr>
  </w:style>
  <w:style w:type="paragraph" w:styleId="TOC7">
    <w:name w:val="toc 7"/>
    <w:basedOn w:val="Normal"/>
    <w:next w:val="Normal"/>
    <w:autoRedefine/>
    <w:semiHidden/>
    <w:unhideWhenUsed/>
    <w:rsid w:val="00B83F6E"/>
    <w:pPr>
      <w:spacing w:after="0"/>
      <w:ind w:left="1200"/>
    </w:pPr>
    <w:rPr>
      <w:rFonts w:asciiTheme="minorHAnsi" w:hAnsiTheme="minorHAnsi"/>
      <w:szCs w:val="20"/>
    </w:rPr>
  </w:style>
  <w:style w:type="paragraph" w:styleId="TOC8">
    <w:name w:val="toc 8"/>
    <w:basedOn w:val="Normal"/>
    <w:next w:val="Normal"/>
    <w:autoRedefine/>
    <w:semiHidden/>
    <w:unhideWhenUsed/>
    <w:rsid w:val="00B83F6E"/>
    <w:pPr>
      <w:spacing w:after="0"/>
      <w:ind w:left="1400"/>
    </w:pPr>
    <w:rPr>
      <w:rFonts w:asciiTheme="minorHAnsi" w:hAnsiTheme="minorHAnsi"/>
      <w:szCs w:val="20"/>
    </w:rPr>
  </w:style>
  <w:style w:type="paragraph" w:styleId="TOC9">
    <w:name w:val="toc 9"/>
    <w:basedOn w:val="Normal"/>
    <w:next w:val="Normal"/>
    <w:autoRedefine/>
    <w:semiHidden/>
    <w:unhideWhenUsed/>
    <w:rsid w:val="00B83F6E"/>
    <w:pPr>
      <w:spacing w:after="0"/>
      <w:ind w:left="1600"/>
    </w:pPr>
    <w:rPr>
      <w:rFonts w:asciiTheme="minorHAnsi" w:hAnsiTheme="minorHAns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7648">
      <w:bodyDiv w:val="1"/>
      <w:marLeft w:val="0"/>
      <w:marRight w:val="0"/>
      <w:marTop w:val="0"/>
      <w:marBottom w:val="0"/>
      <w:divBdr>
        <w:top w:val="none" w:sz="0" w:space="0" w:color="auto"/>
        <w:left w:val="none" w:sz="0" w:space="0" w:color="auto"/>
        <w:bottom w:val="none" w:sz="0" w:space="0" w:color="auto"/>
        <w:right w:val="none" w:sz="0" w:space="0" w:color="auto"/>
      </w:divBdr>
      <w:divsChild>
        <w:div w:id="1992326660">
          <w:marLeft w:val="0"/>
          <w:marRight w:val="0"/>
          <w:marTop w:val="0"/>
          <w:marBottom w:val="0"/>
          <w:divBdr>
            <w:top w:val="none" w:sz="0" w:space="0" w:color="auto"/>
            <w:left w:val="none" w:sz="0" w:space="0" w:color="auto"/>
            <w:bottom w:val="none" w:sz="0" w:space="0" w:color="auto"/>
            <w:right w:val="none" w:sz="0" w:space="0" w:color="auto"/>
          </w:divBdr>
          <w:divsChild>
            <w:div w:id="545067673">
              <w:marLeft w:val="0"/>
              <w:marRight w:val="0"/>
              <w:marTop w:val="0"/>
              <w:marBottom w:val="0"/>
              <w:divBdr>
                <w:top w:val="none" w:sz="0" w:space="0" w:color="auto"/>
                <w:left w:val="none" w:sz="0" w:space="0" w:color="auto"/>
                <w:bottom w:val="none" w:sz="0" w:space="0" w:color="auto"/>
                <w:right w:val="none" w:sz="0" w:space="0" w:color="auto"/>
              </w:divBdr>
              <w:divsChild>
                <w:div w:id="1949769714">
                  <w:marLeft w:val="0"/>
                  <w:marRight w:val="0"/>
                  <w:marTop w:val="0"/>
                  <w:marBottom w:val="300"/>
                  <w:divBdr>
                    <w:top w:val="none" w:sz="0" w:space="0" w:color="auto"/>
                    <w:left w:val="none" w:sz="0" w:space="0" w:color="auto"/>
                    <w:bottom w:val="none" w:sz="0" w:space="0" w:color="auto"/>
                    <w:right w:val="none" w:sz="0" w:space="0" w:color="auto"/>
                  </w:divBdr>
                  <w:divsChild>
                    <w:div w:id="807013980">
                      <w:marLeft w:val="0"/>
                      <w:marRight w:val="0"/>
                      <w:marTop w:val="150"/>
                      <w:marBottom w:val="0"/>
                      <w:divBdr>
                        <w:top w:val="none" w:sz="0" w:space="0" w:color="auto"/>
                        <w:left w:val="none" w:sz="0" w:space="0" w:color="auto"/>
                        <w:bottom w:val="none" w:sz="0" w:space="0" w:color="auto"/>
                        <w:right w:val="none" w:sz="0" w:space="0" w:color="auto"/>
                      </w:divBdr>
                      <w:divsChild>
                        <w:div w:id="1740639831">
                          <w:marLeft w:val="0"/>
                          <w:marRight w:val="0"/>
                          <w:marTop w:val="0"/>
                          <w:marBottom w:val="300"/>
                          <w:divBdr>
                            <w:top w:val="none" w:sz="0" w:space="0" w:color="auto"/>
                            <w:left w:val="none" w:sz="0" w:space="0" w:color="auto"/>
                            <w:bottom w:val="none" w:sz="0" w:space="0" w:color="auto"/>
                            <w:right w:val="none" w:sz="0" w:space="0" w:color="auto"/>
                          </w:divBdr>
                        </w:div>
                        <w:div w:id="5945047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39408141">
      <w:bodyDiv w:val="1"/>
      <w:marLeft w:val="0"/>
      <w:marRight w:val="0"/>
      <w:marTop w:val="0"/>
      <w:marBottom w:val="0"/>
      <w:divBdr>
        <w:top w:val="none" w:sz="0" w:space="0" w:color="auto"/>
        <w:left w:val="none" w:sz="0" w:space="0" w:color="auto"/>
        <w:bottom w:val="none" w:sz="0" w:space="0" w:color="auto"/>
        <w:right w:val="none" w:sz="0" w:space="0" w:color="auto"/>
      </w:divBdr>
      <w:divsChild>
        <w:div w:id="1868375177">
          <w:marLeft w:val="547"/>
          <w:marRight w:val="0"/>
          <w:marTop w:val="0"/>
          <w:marBottom w:val="168"/>
          <w:divBdr>
            <w:top w:val="none" w:sz="0" w:space="0" w:color="auto"/>
            <w:left w:val="none" w:sz="0" w:space="0" w:color="auto"/>
            <w:bottom w:val="none" w:sz="0" w:space="0" w:color="auto"/>
            <w:right w:val="none" w:sz="0" w:space="0" w:color="auto"/>
          </w:divBdr>
        </w:div>
        <w:div w:id="1284340971">
          <w:marLeft w:val="547"/>
          <w:marRight w:val="0"/>
          <w:marTop w:val="0"/>
          <w:marBottom w:val="168"/>
          <w:divBdr>
            <w:top w:val="none" w:sz="0" w:space="0" w:color="auto"/>
            <w:left w:val="none" w:sz="0" w:space="0" w:color="auto"/>
            <w:bottom w:val="none" w:sz="0" w:space="0" w:color="auto"/>
            <w:right w:val="none" w:sz="0" w:space="0" w:color="auto"/>
          </w:divBdr>
        </w:div>
        <w:div w:id="43523625">
          <w:marLeft w:val="1166"/>
          <w:marRight w:val="0"/>
          <w:marTop w:val="0"/>
          <w:marBottom w:val="168"/>
          <w:divBdr>
            <w:top w:val="none" w:sz="0" w:space="0" w:color="auto"/>
            <w:left w:val="none" w:sz="0" w:space="0" w:color="auto"/>
            <w:bottom w:val="none" w:sz="0" w:space="0" w:color="auto"/>
            <w:right w:val="none" w:sz="0" w:space="0" w:color="auto"/>
          </w:divBdr>
        </w:div>
        <w:div w:id="288977651">
          <w:marLeft w:val="1166"/>
          <w:marRight w:val="0"/>
          <w:marTop w:val="0"/>
          <w:marBottom w:val="168"/>
          <w:divBdr>
            <w:top w:val="none" w:sz="0" w:space="0" w:color="auto"/>
            <w:left w:val="none" w:sz="0" w:space="0" w:color="auto"/>
            <w:bottom w:val="none" w:sz="0" w:space="0" w:color="auto"/>
            <w:right w:val="none" w:sz="0" w:space="0" w:color="auto"/>
          </w:divBdr>
        </w:div>
        <w:div w:id="672875736">
          <w:marLeft w:val="547"/>
          <w:marRight w:val="0"/>
          <w:marTop w:val="0"/>
          <w:marBottom w:val="168"/>
          <w:divBdr>
            <w:top w:val="none" w:sz="0" w:space="0" w:color="auto"/>
            <w:left w:val="none" w:sz="0" w:space="0" w:color="auto"/>
            <w:bottom w:val="none" w:sz="0" w:space="0" w:color="auto"/>
            <w:right w:val="none" w:sz="0" w:space="0" w:color="auto"/>
          </w:divBdr>
        </w:div>
        <w:div w:id="891506085">
          <w:marLeft w:val="547"/>
          <w:marRight w:val="0"/>
          <w:marTop w:val="0"/>
          <w:marBottom w:val="168"/>
          <w:divBdr>
            <w:top w:val="none" w:sz="0" w:space="0" w:color="auto"/>
            <w:left w:val="none" w:sz="0" w:space="0" w:color="auto"/>
            <w:bottom w:val="none" w:sz="0" w:space="0" w:color="auto"/>
            <w:right w:val="none" w:sz="0" w:space="0" w:color="auto"/>
          </w:divBdr>
        </w:div>
        <w:div w:id="775636326">
          <w:marLeft w:val="1166"/>
          <w:marRight w:val="0"/>
          <w:marTop w:val="0"/>
          <w:marBottom w:val="168"/>
          <w:divBdr>
            <w:top w:val="none" w:sz="0" w:space="0" w:color="auto"/>
            <w:left w:val="none" w:sz="0" w:space="0" w:color="auto"/>
            <w:bottom w:val="none" w:sz="0" w:space="0" w:color="auto"/>
            <w:right w:val="none" w:sz="0" w:space="0" w:color="auto"/>
          </w:divBdr>
        </w:div>
        <w:div w:id="121849904">
          <w:marLeft w:val="1166"/>
          <w:marRight w:val="0"/>
          <w:marTop w:val="0"/>
          <w:marBottom w:val="168"/>
          <w:divBdr>
            <w:top w:val="none" w:sz="0" w:space="0" w:color="auto"/>
            <w:left w:val="none" w:sz="0" w:space="0" w:color="auto"/>
            <w:bottom w:val="none" w:sz="0" w:space="0" w:color="auto"/>
            <w:right w:val="none" w:sz="0" w:space="0" w:color="auto"/>
          </w:divBdr>
        </w:div>
        <w:div w:id="1969386391">
          <w:marLeft w:val="1800"/>
          <w:marRight w:val="0"/>
          <w:marTop w:val="0"/>
          <w:marBottom w:val="168"/>
          <w:divBdr>
            <w:top w:val="none" w:sz="0" w:space="0" w:color="auto"/>
            <w:left w:val="none" w:sz="0" w:space="0" w:color="auto"/>
            <w:bottom w:val="none" w:sz="0" w:space="0" w:color="auto"/>
            <w:right w:val="none" w:sz="0" w:space="0" w:color="auto"/>
          </w:divBdr>
        </w:div>
        <w:div w:id="2099205470">
          <w:marLeft w:val="1800"/>
          <w:marRight w:val="0"/>
          <w:marTop w:val="0"/>
          <w:marBottom w:val="168"/>
          <w:divBdr>
            <w:top w:val="none" w:sz="0" w:space="0" w:color="auto"/>
            <w:left w:val="none" w:sz="0" w:space="0" w:color="auto"/>
            <w:bottom w:val="none" w:sz="0" w:space="0" w:color="auto"/>
            <w:right w:val="none" w:sz="0" w:space="0" w:color="auto"/>
          </w:divBdr>
        </w:div>
        <w:div w:id="1474522840">
          <w:marLeft w:val="1800"/>
          <w:marRight w:val="0"/>
          <w:marTop w:val="0"/>
          <w:marBottom w:val="168"/>
          <w:divBdr>
            <w:top w:val="none" w:sz="0" w:space="0" w:color="auto"/>
            <w:left w:val="none" w:sz="0" w:space="0" w:color="auto"/>
            <w:bottom w:val="none" w:sz="0" w:space="0" w:color="auto"/>
            <w:right w:val="none" w:sz="0" w:space="0" w:color="auto"/>
          </w:divBdr>
        </w:div>
        <w:div w:id="1211839573">
          <w:marLeft w:val="1800"/>
          <w:marRight w:val="0"/>
          <w:marTop w:val="0"/>
          <w:marBottom w:val="168"/>
          <w:divBdr>
            <w:top w:val="none" w:sz="0" w:space="0" w:color="auto"/>
            <w:left w:val="none" w:sz="0" w:space="0" w:color="auto"/>
            <w:bottom w:val="none" w:sz="0" w:space="0" w:color="auto"/>
            <w:right w:val="none" w:sz="0" w:space="0" w:color="auto"/>
          </w:divBdr>
        </w:div>
        <w:div w:id="1716807697">
          <w:marLeft w:val="1800"/>
          <w:marRight w:val="0"/>
          <w:marTop w:val="0"/>
          <w:marBottom w:val="168"/>
          <w:divBdr>
            <w:top w:val="none" w:sz="0" w:space="0" w:color="auto"/>
            <w:left w:val="none" w:sz="0" w:space="0" w:color="auto"/>
            <w:bottom w:val="none" w:sz="0" w:space="0" w:color="auto"/>
            <w:right w:val="none" w:sz="0" w:space="0" w:color="auto"/>
          </w:divBdr>
        </w:div>
      </w:divsChild>
    </w:div>
    <w:div w:id="62801778">
      <w:bodyDiv w:val="1"/>
      <w:marLeft w:val="0"/>
      <w:marRight w:val="0"/>
      <w:marTop w:val="0"/>
      <w:marBottom w:val="0"/>
      <w:divBdr>
        <w:top w:val="none" w:sz="0" w:space="0" w:color="auto"/>
        <w:left w:val="none" w:sz="0" w:space="0" w:color="auto"/>
        <w:bottom w:val="none" w:sz="0" w:space="0" w:color="auto"/>
        <w:right w:val="none" w:sz="0" w:space="0" w:color="auto"/>
      </w:divBdr>
    </w:div>
    <w:div w:id="148600592">
      <w:bodyDiv w:val="1"/>
      <w:marLeft w:val="0"/>
      <w:marRight w:val="0"/>
      <w:marTop w:val="0"/>
      <w:marBottom w:val="0"/>
      <w:divBdr>
        <w:top w:val="none" w:sz="0" w:space="0" w:color="auto"/>
        <w:left w:val="none" w:sz="0" w:space="0" w:color="auto"/>
        <w:bottom w:val="none" w:sz="0" w:space="0" w:color="auto"/>
        <w:right w:val="none" w:sz="0" w:space="0" w:color="auto"/>
      </w:divBdr>
      <w:divsChild>
        <w:div w:id="148255059">
          <w:marLeft w:val="0"/>
          <w:marRight w:val="0"/>
          <w:marTop w:val="144"/>
          <w:marBottom w:val="0"/>
          <w:divBdr>
            <w:top w:val="none" w:sz="0" w:space="0" w:color="auto"/>
            <w:left w:val="none" w:sz="0" w:space="0" w:color="auto"/>
            <w:bottom w:val="none" w:sz="0" w:space="0" w:color="auto"/>
            <w:right w:val="none" w:sz="0" w:space="0" w:color="auto"/>
          </w:divBdr>
        </w:div>
        <w:div w:id="1759328664">
          <w:marLeft w:val="0"/>
          <w:marRight w:val="0"/>
          <w:marTop w:val="144"/>
          <w:marBottom w:val="0"/>
          <w:divBdr>
            <w:top w:val="none" w:sz="0" w:space="0" w:color="auto"/>
            <w:left w:val="none" w:sz="0" w:space="0" w:color="auto"/>
            <w:bottom w:val="none" w:sz="0" w:space="0" w:color="auto"/>
            <w:right w:val="none" w:sz="0" w:space="0" w:color="auto"/>
          </w:divBdr>
        </w:div>
        <w:div w:id="1602296875">
          <w:marLeft w:val="0"/>
          <w:marRight w:val="0"/>
          <w:marTop w:val="144"/>
          <w:marBottom w:val="0"/>
          <w:divBdr>
            <w:top w:val="none" w:sz="0" w:space="0" w:color="auto"/>
            <w:left w:val="none" w:sz="0" w:space="0" w:color="auto"/>
            <w:bottom w:val="none" w:sz="0" w:space="0" w:color="auto"/>
            <w:right w:val="none" w:sz="0" w:space="0" w:color="auto"/>
          </w:divBdr>
        </w:div>
        <w:div w:id="1190215391">
          <w:marLeft w:val="0"/>
          <w:marRight w:val="0"/>
          <w:marTop w:val="144"/>
          <w:marBottom w:val="0"/>
          <w:divBdr>
            <w:top w:val="none" w:sz="0" w:space="0" w:color="auto"/>
            <w:left w:val="none" w:sz="0" w:space="0" w:color="auto"/>
            <w:bottom w:val="none" w:sz="0" w:space="0" w:color="auto"/>
            <w:right w:val="none" w:sz="0" w:space="0" w:color="auto"/>
          </w:divBdr>
        </w:div>
      </w:divsChild>
    </w:div>
    <w:div w:id="371226523">
      <w:bodyDiv w:val="1"/>
      <w:marLeft w:val="0"/>
      <w:marRight w:val="0"/>
      <w:marTop w:val="0"/>
      <w:marBottom w:val="0"/>
      <w:divBdr>
        <w:top w:val="none" w:sz="0" w:space="0" w:color="auto"/>
        <w:left w:val="none" w:sz="0" w:space="0" w:color="auto"/>
        <w:bottom w:val="none" w:sz="0" w:space="0" w:color="auto"/>
        <w:right w:val="none" w:sz="0" w:space="0" w:color="auto"/>
      </w:divBdr>
      <w:divsChild>
        <w:div w:id="1171945357">
          <w:marLeft w:val="0"/>
          <w:marRight w:val="0"/>
          <w:marTop w:val="0"/>
          <w:marBottom w:val="0"/>
          <w:divBdr>
            <w:top w:val="none" w:sz="0" w:space="0" w:color="auto"/>
            <w:left w:val="none" w:sz="0" w:space="0" w:color="auto"/>
            <w:bottom w:val="none" w:sz="0" w:space="0" w:color="auto"/>
            <w:right w:val="none" w:sz="0" w:space="0" w:color="auto"/>
          </w:divBdr>
          <w:divsChild>
            <w:div w:id="922446724">
              <w:marLeft w:val="0"/>
              <w:marRight w:val="0"/>
              <w:marTop w:val="0"/>
              <w:marBottom w:val="0"/>
              <w:divBdr>
                <w:top w:val="none" w:sz="0" w:space="0" w:color="auto"/>
                <w:left w:val="none" w:sz="0" w:space="0" w:color="auto"/>
                <w:bottom w:val="none" w:sz="0" w:space="0" w:color="auto"/>
                <w:right w:val="none" w:sz="0" w:space="0" w:color="auto"/>
              </w:divBdr>
              <w:divsChild>
                <w:div w:id="462769479">
                  <w:marLeft w:val="0"/>
                  <w:marRight w:val="0"/>
                  <w:marTop w:val="0"/>
                  <w:marBottom w:val="0"/>
                  <w:divBdr>
                    <w:top w:val="none" w:sz="0" w:space="0" w:color="auto"/>
                    <w:left w:val="none" w:sz="0" w:space="0" w:color="auto"/>
                    <w:bottom w:val="none" w:sz="0" w:space="0" w:color="auto"/>
                    <w:right w:val="none" w:sz="0" w:space="0" w:color="auto"/>
                  </w:divBdr>
                  <w:divsChild>
                    <w:div w:id="181090002">
                      <w:marLeft w:val="0"/>
                      <w:marRight w:val="0"/>
                      <w:marTop w:val="0"/>
                      <w:marBottom w:val="0"/>
                      <w:divBdr>
                        <w:top w:val="none" w:sz="0" w:space="0" w:color="auto"/>
                        <w:left w:val="none" w:sz="0" w:space="0" w:color="auto"/>
                        <w:bottom w:val="none" w:sz="0" w:space="0" w:color="auto"/>
                        <w:right w:val="none" w:sz="0" w:space="0" w:color="auto"/>
                      </w:divBdr>
                      <w:divsChild>
                        <w:div w:id="538980666">
                          <w:marLeft w:val="0"/>
                          <w:marRight w:val="0"/>
                          <w:marTop w:val="0"/>
                          <w:marBottom w:val="0"/>
                          <w:divBdr>
                            <w:top w:val="none" w:sz="0" w:space="0" w:color="auto"/>
                            <w:left w:val="none" w:sz="0" w:space="0" w:color="auto"/>
                            <w:bottom w:val="none" w:sz="0" w:space="0" w:color="auto"/>
                            <w:right w:val="none" w:sz="0" w:space="0" w:color="auto"/>
                          </w:divBdr>
                          <w:divsChild>
                            <w:div w:id="1743336729">
                              <w:marLeft w:val="0"/>
                              <w:marRight w:val="0"/>
                              <w:marTop w:val="0"/>
                              <w:marBottom w:val="0"/>
                              <w:divBdr>
                                <w:top w:val="none" w:sz="0" w:space="0" w:color="auto"/>
                                <w:left w:val="none" w:sz="0" w:space="0" w:color="auto"/>
                                <w:bottom w:val="none" w:sz="0" w:space="0" w:color="auto"/>
                                <w:right w:val="none" w:sz="0" w:space="0" w:color="auto"/>
                              </w:divBdr>
                              <w:divsChild>
                                <w:div w:id="1866022505">
                                  <w:marLeft w:val="0"/>
                                  <w:marRight w:val="0"/>
                                  <w:marTop w:val="0"/>
                                  <w:marBottom w:val="0"/>
                                  <w:divBdr>
                                    <w:top w:val="none" w:sz="0" w:space="0" w:color="auto"/>
                                    <w:left w:val="none" w:sz="0" w:space="0" w:color="auto"/>
                                    <w:bottom w:val="none" w:sz="0" w:space="0" w:color="auto"/>
                                    <w:right w:val="none" w:sz="0" w:space="0" w:color="auto"/>
                                  </w:divBdr>
                                  <w:divsChild>
                                    <w:div w:id="110250926">
                                      <w:marLeft w:val="0"/>
                                      <w:marRight w:val="0"/>
                                      <w:marTop w:val="0"/>
                                      <w:marBottom w:val="0"/>
                                      <w:divBdr>
                                        <w:top w:val="none" w:sz="0" w:space="0" w:color="auto"/>
                                        <w:left w:val="none" w:sz="0" w:space="0" w:color="auto"/>
                                        <w:bottom w:val="none" w:sz="0" w:space="0" w:color="auto"/>
                                        <w:right w:val="none" w:sz="0" w:space="0" w:color="auto"/>
                                      </w:divBdr>
                                      <w:divsChild>
                                        <w:div w:id="190599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141156">
      <w:bodyDiv w:val="1"/>
      <w:marLeft w:val="0"/>
      <w:marRight w:val="0"/>
      <w:marTop w:val="0"/>
      <w:marBottom w:val="0"/>
      <w:divBdr>
        <w:top w:val="none" w:sz="0" w:space="0" w:color="auto"/>
        <w:left w:val="none" w:sz="0" w:space="0" w:color="auto"/>
        <w:bottom w:val="none" w:sz="0" w:space="0" w:color="auto"/>
        <w:right w:val="none" w:sz="0" w:space="0" w:color="auto"/>
      </w:divBdr>
      <w:divsChild>
        <w:div w:id="1674841093">
          <w:marLeft w:val="0"/>
          <w:marRight w:val="0"/>
          <w:marTop w:val="0"/>
          <w:marBottom w:val="0"/>
          <w:divBdr>
            <w:top w:val="none" w:sz="0" w:space="0" w:color="auto"/>
            <w:left w:val="none" w:sz="0" w:space="0" w:color="auto"/>
            <w:bottom w:val="none" w:sz="0" w:space="0" w:color="auto"/>
            <w:right w:val="none" w:sz="0" w:space="0" w:color="auto"/>
          </w:divBdr>
          <w:divsChild>
            <w:div w:id="1440101185">
              <w:marLeft w:val="0"/>
              <w:marRight w:val="0"/>
              <w:marTop w:val="0"/>
              <w:marBottom w:val="0"/>
              <w:divBdr>
                <w:top w:val="none" w:sz="0" w:space="0" w:color="auto"/>
                <w:left w:val="none" w:sz="0" w:space="0" w:color="auto"/>
                <w:bottom w:val="none" w:sz="0" w:space="0" w:color="auto"/>
                <w:right w:val="none" w:sz="0" w:space="0" w:color="auto"/>
              </w:divBdr>
              <w:divsChild>
                <w:div w:id="1540900918">
                  <w:marLeft w:val="0"/>
                  <w:marRight w:val="0"/>
                  <w:marTop w:val="0"/>
                  <w:marBottom w:val="0"/>
                  <w:divBdr>
                    <w:top w:val="none" w:sz="0" w:space="0" w:color="auto"/>
                    <w:left w:val="none" w:sz="0" w:space="0" w:color="auto"/>
                    <w:bottom w:val="none" w:sz="0" w:space="0" w:color="auto"/>
                    <w:right w:val="none" w:sz="0" w:space="0" w:color="auto"/>
                  </w:divBdr>
                  <w:divsChild>
                    <w:div w:id="825046439">
                      <w:marLeft w:val="0"/>
                      <w:marRight w:val="0"/>
                      <w:marTop w:val="0"/>
                      <w:marBottom w:val="0"/>
                      <w:divBdr>
                        <w:top w:val="none" w:sz="0" w:space="0" w:color="auto"/>
                        <w:left w:val="none" w:sz="0" w:space="0" w:color="auto"/>
                        <w:bottom w:val="none" w:sz="0" w:space="0" w:color="auto"/>
                        <w:right w:val="none" w:sz="0" w:space="0" w:color="auto"/>
                      </w:divBdr>
                      <w:divsChild>
                        <w:div w:id="28995419">
                          <w:marLeft w:val="0"/>
                          <w:marRight w:val="0"/>
                          <w:marTop w:val="0"/>
                          <w:marBottom w:val="0"/>
                          <w:divBdr>
                            <w:top w:val="none" w:sz="0" w:space="0" w:color="auto"/>
                            <w:left w:val="none" w:sz="0" w:space="0" w:color="auto"/>
                            <w:bottom w:val="none" w:sz="0" w:space="0" w:color="auto"/>
                            <w:right w:val="none" w:sz="0" w:space="0" w:color="auto"/>
                          </w:divBdr>
                          <w:divsChild>
                            <w:div w:id="1925527069">
                              <w:marLeft w:val="0"/>
                              <w:marRight w:val="0"/>
                              <w:marTop w:val="0"/>
                              <w:marBottom w:val="0"/>
                              <w:divBdr>
                                <w:top w:val="none" w:sz="0" w:space="0" w:color="auto"/>
                                <w:left w:val="none" w:sz="0" w:space="0" w:color="auto"/>
                                <w:bottom w:val="none" w:sz="0" w:space="0" w:color="auto"/>
                                <w:right w:val="none" w:sz="0" w:space="0" w:color="auto"/>
                              </w:divBdr>
                              <w:divsChild>
                                <w:div w:id="1976595237">
                                  <w:marLeft w:val="0"/>
                                  <w:marRight w:val="0"/>
                                  <w:marTop w:val="0"/>
                                  <w:marBottom w:val="0"/>
                                  <w:divBdr>
                                    <w:top w:val="none" w:sz="0" w:space="0" w:color="auto"/>
                                    <w:left w:val="none" w:sz="0" w:space="0" w:color="auto"/>
                                    <w:bottom w:val="none" w:sz="0" w:space="0" w:color="auto"/>
                                    <w:right w:val="none" w:sz="0" w:space="0" w:color="auto"/>
                                  </w:divBdr>
                                  <w:divsChild>
                                    <w:div w:id="392775942">
                                      <w:marLeft w:val="0"/>
                                      <w:marRight w:val="0"/>
                                      <w:marTop w:val="0"/>
                                      <w:marBottom w:val="0"/>
                                      <w:divBdr>
                                        <w:top w:val="none" w:sz="0" w:space="0" w:color="auto"/>
                                        <w:left w:val="none" w:sz="0" w:space="0" w:color="auto"/>
                                        <w:bottom w:val="none" w:sz="0" w:space="0" w:color="auto"/>
                                        <w:right w:val="none" w:sz="0" w:space="0" w:color="auto"/>
                                      </w:divBdr>
                                      <w:divsChild>
                                        <w:div w:id="78029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880595">
      <w:bodyDiv w:val="1"/>
      <w:marLeft w:val="0"/>
      <w:marRight w:val="0"/>
      <w:marTop w:val="0"/>
      <w:marBottom w:val="0"/>
      <w:divBdr>
        <w:top w:val="none" w:sz="0" w:space="0" w:color="auto"/>
        <w:left w:val="none" w:sz="0" w:space="0" w:color="auto"/>
        <w:bottom w:val="none" w:sz="0" w:space="0" w:color="auto"/>
        <w:right w:val="none" w:sz="0" w:space="0" w:color="auto"/>
      </w:divBdr>
      <w:divsChild>
        <w:div w:id="862286066">
          <w:marLeft w:val="0"/>
          <w:marRight w:val="0"/>
          <w:marTop w:val="144"/>
          <w:marBottom w:val="0"/>
          <w:divBdr>
            <w:top w:val="none" w:sz="0" w:space="0" w:color="auto"/>
            <w:left w:val="none" w:sz="0" w:space="0" w:color="auto"/>
            <w:bottom w:val="none" w:sz="0" w:space="0" w:color="auto"/>
            <w:right w:val="none" w:sz="0" w:space="0" w:color="auto"/>
          </w:divBdr>
        </w:div>
        <w:div w:id="1279222034">
          <w:marLeft w:val="0"/>
          <w:marRight w:val="0"/>
          <w:marTop w:val="144"/>
          <w:marBottom w:val="0"/>
          <w:divBdr>
            <w:top w:val="none" w:sz="0" w:space="0" w:color="auto"/>
            <w:left w:val="none" w:sz="0" w:space="0" w:color="auto"/>
            <w:bottom w:val="none" w:sz="0" w:space="0" w:color="auto"/>
            <w:right w:val="none" w:sz="0" w:space="0" w:color="auto"/>
          </w:divBdr>
        </w:div>
        <w:div w:id="1914244004">
          <w:marLeft w:val="0"/>
          <w:marRight w:val="0"/>
          <w:marTop w:val="144"/>
          <w:marBottom w:val="0"/>
          <w:divBdr>
            <w:top w:val="none" w:sz="0" w:space="0" w:color="auto"/>
            <w:left w:val="none" w:sz="0" w:space="0" w:color="auto"/>
            <w:bottom w:val="none" w:sz="0" w:space="0" w:color="auto"/>
            <w:right w:val="none" w:sz="0" w:space="0" w:color="auto"/>
          </w:divBdr>
        </w:div>
        <w:div w:id="126314190">
          <w:marLeft w:val="0"/>
          <w:marRight w:val="0"/>
          <w:marTop w:val="144"/>
          <w:marBottom w:val="0"/>
          <w:divBdr>
            <w:top w:val="none" w:sz="0" w:space="0" w:color="auto"/>
            <w:left w:val="none" w:sz="0" w:space="0" w:color="auto"/>
            <w:bottom w:val="none" w:sz="0" w:space="0" w:color="auto"/>
            <w:right w:val="none" w:sz="0" w:space="0" w:color="auto"/>
          </w:divBdr>
        </w:div>
      </w:divsChild>
    </w:div>
    <w:div w:id="791050854">
      <w:bodyDiv w:val="1"/>
      <w:marLeft w:val="0"/>
      <w:marRight w:val="0"/>
      <w:marTop w:val="0"/>
      <w:marBottom w:val="0"/>
      <w:divBdr>
        <w:top w:val="none" w:sz="0" w:space="0" w:color="auto"/>
        <w:left w:val="none" w:sz="0" w:space="0" w:color="auto"/>
        <w:bottom w:val="none" w:sz="0" w:space="0" w:color="auto"/>
        <w:right w:val="none" w:sz="0" w:space="0" w:color="auto"/>
      </w:divBdr>
      <w:divsChild>
        <w:div w:id="1617518327">
          <w:marLeft w:val="0"/>
          <w:marRight w:val="0"/>
          <w:marTop w:val="144"/>
          <w:marBottom w:val="0"/>
          <w:divBdr>
            <w:top w:val="none" w:sz="0" w:space="0" w:color="auto"/>
            <w:left w:val="none" w:sz="0" w:space="0" w:color="auto"/>
            <w:bottom w:val="none" w:sz="0" w:space="0" w:color="auto"/>
            <w:right w:val="none" w:sz="0" w:space="0" w:color="auto"/>
          </w:divBdr>
        </w:div>
        <w:div w:id="1927835679">
          <w:marLeft w:val="0"/>
          <w:marRight w:val="0"/>
          <w:marTop w:val="144"/>
          <w:marBottom w:val="0"/>
          <w:divBdr>
            <w:top w:val="none" w:sz="0" w:space="0" w:color="auto"/>
            <w:left w:val="none" w:sz="0" w:space="0" w:color="auto"/>
            <w:bottom w:val="none" w:sz="0" w:space="0" w:color="auto"/>
            <w:right w:val="none" w:sz="0" w:space="0" w:color="auto"/>
          </w:divBdr>
        </w:div>
        <w:div w:id="263880693">
          <w:marLeft w:val="0"/>
          <w:marRight w:val="0"/>
          <w:marTop w:val="144"/>
          <w:marBottom w:val="0"/>
          <w:divBdr>
            <w:top w:val="none" w:sz="0" w:space="0" w:color="auto"/>
            <w:left w:val="none" w:sz="0" w:space="0" w:color="auto"/>
            <w:bottom w:val="none" w:sz="0" w:space="0" w:color="auto"/>
            <w:right w:val="none" w:sz="0" w:space="0" w:color="auto"/>
          </w:divBdr>
        </w:div>
        <w:div w:id="548301700">
          <w:marLeft w:val="0"/>
          <w:marRight w:val="0"/>
          <w:marTop w:val="144"/>
          <w:marBottom w:val="0"/>
          <w:divBdr>
            <w:top w:val="none" w:sz="0" w:space="0" w:color="auto"/>
            <w:left w:val="none" w:sz="0" w:space="0" w:color="auto"/>
            <w:bottom w:val="none" w:sz="0" w:space="0" w:color="auto"/>
            <w:right w:val="none" w:sz="0" w:space="0" w:color="auto"/>
          </w:divBdr>
        </w:div>
        <w:div w:id="1384787545">
          <w:marLeft w:val="0"/>
          <w:marRight w:val="0"/>
          <w:marTop w:val="144"/>
          <w:marBottom w:val="0"/>
          <w:divBdr>
            <w:top w:val="none" w:sz="0" w:space="0" w:color="auto"/>
            <w:left w:val="none" w:sz="0" w:space="0" w:color="auto"/>
            <w:bottom w:val="none" w:sz="0" w:space="0" w:color="auto"/>
            <w:right w:val="none" w:sz="0" w:space="0" w:color="auto"/>
          </w:divBdr>
        </w:div>
      </w:divsChild>
    </w:div>
    <w:div w:id="1120416689">
      <w:bodyDiv w:val="1"/>
      <w:marLeft w:val="0"/>
      <w:marRight w:val="0"/>
      <w:marTop w:val="0"/>
      <w:marBottom w:val="0"/>
      <w:divBdr>
        <w:top w:val="none" w:sz="0" w:space="0" w:color="auto"/>
        <w:left w:val="none" w:sz="0" w:space="0" w:color="auto"/>
        <w:bottom w:val="none" w:sz="0" w:space="0" w:color="auto"/>
        <w:right w:val="none" w:sz="0" w:space="0" w:color="auto"/>
      </w:divBdr>
      <w:divsChild>
        <w:div w:id="1274554996">
          <w:marLeft w:val="0"/>
          <w:marRight w:val="0"/>
          <w:marTop w:val="0"/>
          <w:marBottom w:val="0"/>
          <w:divBdr>
            <w:top w:val="none" w:sz="0" w:space="0" w:color="auto"/>
            <w:left w:val="none" w:sz="0" w:space="0" w:color="auto"/>
            <w:bottom w:val="none" w:sz="0" w:space="0" w:color="auto"/>
            <w:right w:val="none" w:sz="0" w:space="0" w:color="auto"/>
          </w:divBdr>
          <w:divsChild>
            <w:div w:id="1484470071">
              <w:marLeft w:val="0"/>
              <w:marRight w:val="0"/>
              <w:marTop w:val="0"/>
              <w:marBottom w:val="0"/>
              <w:divBdr>
                <w:top w:val="none" w:sz="0" w:space="0" w:color="auto"/>
                <w:left w:val="none" w:sz="0" w:space="0" w:color="auto"/>
                <w:bottom w:val="none" w:sz="0" w:space="0" w:color="auto"/>
                <w:right w:val="none" w:sz="0" w:space="0" w:color="auto"/>
              </w:divBdr>
              <w:divsChild>
                <w:div w:id="837115553">
                  <w:marLeft w:val="0"/>
                  <w:marRight w:val="0"/>
                  <w:marTop w:val="0"/>
                  <w:marBottom w:val="0"/>
                  <w:divBdr>
                    <w:top w:val="none" w:sz="0" w:space="0" w:color="auto"/>
                    <w:left w:val="none" w:sz="0" w:space="0" w:color="auto"/>
                    <w:bottom w:val="none" w:sz="0" w:space="0" w:color="auto"/>
                    <w:right w:val="none" w:sz="0" w:space="0" w:color="auto"/>
                  </w:divBdr>
                  <w:divsChild>
                    <w:div w:id="23092815">
                      <w:marLeft w:val="0"/>
                      <w:marRight w:val="0"/>
                      <w:marTop w:val="0"/>
                      <w:marBottom w:val="0"/>
                      <w:divBdr>
                        <w:top w:val="none" w:sz="0" w:space="0" w:color="auto"/>
                        <w:left w:val="none" w:sz="0" w:space="0" w:color="auto"/>
                        <w:bottom w:val="none" w:sz="0" w:space="0" w:color="auto"/>
                        <w:right w:val="none" w:sz="0" w:space="0" w:color="auto"/>
                      </w:divBdr>
                      <w:divsChild>
                        <w:div w:id="553322073">
                          <w:marLeft w:val="0"/>
                          <w:marRight w:val="0"/>
                          <w:marTop w:val="0"/>
                          <w:marBottom w:val="0"/>
                          <w:divBdr>
                            <w:top w:val="none" w:sz="0" w:space="0" w:color="auto"/>
                            <w:left w:val="none" w:sz="0" w:space="0" w:color="auto"/>
                            <w:bottom w:val="none" w:sz="0" w:space="0" w:color="auto"/>
                            <w:right w:val="none" w:sz="0" w:space="0" w:color="auto"/>
                          </w:divBdr>
                          <w:divsChild>
                            <w:div w:id="51580693">
                              <w:marLeft w:val="0"/>
                              <w:marRight w:val="0"/>
                              <w:marTop w:val="0"/>
                              <w:marBottom w:val="0"/>
                              <w:divBdr>
                                <w:top w:val="none" w:sz="0" w:space="0" w:color="auto"/>
                                <w:left w:val="none" w:sz="0" w:space="0" w:color="auto"/>
                                <w:bottom w:val="none" w:sz="0" w:space="0" w:color="auto"/>
                                <w:right w:val="none" w:sz="0" w:space="0" w:color="auto"/>
                              </w:divBdr>
                              <w:divsChild>
                                <w:div w:id="2099208886">
                                  <w:marLeft w:val="0"/>
                                  <w:marRight w:val="0"/>
                                  <w:marTop w:val="0"/>
                                  <w:marBottom w:val="0"/>
                                  <w:divBdr>
                                    <w:top w:val="none" w:sz="0" w:space="0" w:color="auto"/>
                                    <w:left w:val="none" w:sz="0" w:space="0" w:color="auto"/>
                                    <w:bottom w:val="none" w:sz="0" w:space="0" w:color="auto"/>
                                    <w:right w:val="none" w:sz="0" w:space="0" w:color="auto"/>
                                  </w:divBdr>
                                  <w:divsChild>
                                    <w:div w:id="643895887">
                                      <w:marLeft w:val="0"/>
                                      <w:marRight w:val="0"/>
                                      <w:marTop w:val="0"/>
                                      <w:marBottom w:val="0"/>
                                      <w:divBdr>
                                        <w:top w:val="none" w:sz="0" w:space="0" w:color="auto"/>
                                        <w:left w:val="none" w:sz="0" w:space="0" w:color="auto"/>
                                        <w:bottom w:val="none" w:sz="0" w:space="0" w:color="auto"/>
                                        <w:right w:val="none" w:sz="0" w:space="0" w:color="auto"/>
                                      </w:divBdr>
                                      <w:divsChild>
                                        <w:div w:id="26365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5391012">
      <w:bodyDiv w:val="1"/>
      <w:marLeft w:val="0"/>
      <w:marRight w:val="0"/>
      <w:marTop w:val="0"/>
      <w:marBottom w:val="0"/>
      <w:divBdr>
        <w:top w:val="none" w:sz="0" w:space="0" w:color="auto"/>
        <w:left w:val="none" w:sz="0" w:space="0" w:color="auto"/>
        <w:bottom w:val="none" w:sz="0" w:space="0" w:color="auto"/>
        <w:right w:val="none" w:sz="0" w:space="0" w:color="auto"/>
      </w:divBdr>
      <w:divsChild>
        <w:div w:id="137302372">
          <w:marLeft w:val="0"/>
          <w:marRight w:val="0"/>
          <w:marTop w:val="144"/>
          <w:marBottom w:val="0"/>
          <w:divBdr>
            <w:top w:val="none" w:sz="0" w:space="0" w:color="auto"/>
            <w:left w:val="none" w:sz="0" w:space="0" w:color="auto"/>
            <w:bottom w:val="none" w:sz="0" w:space="0" w:color="auto"/>
            <w:right w:val="none" w:sz="0" w:space="0" w:color="auto"/>
          </w:divBdr>
        </w:div>
        <w:div w:id="438256448">
          <w:marLeft w:val="0"/>
          <w:marRight w:val="0"/>
          <w:marTop w:val="144"/>
          <w:marBottom w:val="0"/>
          <w:divBdr>
            <w:top w:val="none" w:sz="0" w:space="0" w:color="auto"/>
            <w:left w:val="none" w:sz="0" w:space="0" w:color="auto"/>
            <w:bottom w:val="none" w:sz="0" w:space="0" w:color="auto"/>
            <w:right w:val="none" w:sz="0" w:space="0" w:color="auto"/>
          </w:divBdr>
        </w:div>
        <w:div w:id="305278878">
          <w:marLeft w:val="0"/>
          <w:marRight w:val="0"/>
          <w:marTop w:val="144"/>
          <w:marBottom w:val="0"/>
          <w:divBdr>
            <w:top w:val="none" w:sz="0" w:space="0" w:color="auto"/>
            <w:left w:val="none" w:sz="0" w:space="0" w:color="auto"/>
            <w:bottom w:val="none" w:sz="0" w:space="0" w:color="auto"/>
            <w:right w:val="none" w:sz="0" w:space="0" w:color="auto"/>
          </w:divBdr>
        </w:div>
        <w:div w:id="929628802">
          <w:marLeft w:val="0"/>
          <w:marRight w:val="0"/>
          <w:marTop w:val="144"/>
          <w:marBottom w:val="0"/>
          <w:divBdr>
            <w:top w:val="none" w:sz="0" w:space="0" w:color="auto"/>
            <w:left w:val="none" w:sz="0" w:space="0" w:color="auto"/>
            <w:bottom w:val="none" w:sz="0" w:space="0" w:color="auto"/>
            <w:right w:val="none" w:sz="0" w:space="0" w:color="auto"/>
          </w:divBdr>
        </w:div>
      </w:divsChild>
    </w:div>
    <w:div w:id="1222135485">
      <w:bodyDiv w:val="1"/>
      <w:marLeft w:val="0"/>
      <w:marRight w:val="0"/>
      <w:marTop w:val="0"/>
      <w:marBottom w:val="0"/>
      <w:divBdr>
        <w:top w:val="none" w:sz="0" w:space="0" w:color="auto"/>
        <w:left w:val="none" w:sz="0" w:space="0" w:color="auto"/>
        <w:bottom w:val="none" w:sz="0" w:space="0" w:color="auto"/>
        <w:right w:val="none" w:sz="0" w:space="0" w:color="auto"/>
      </w:divBdr>
    </w:div>
    <w:div w:id="1315183363">
      <w:bodyDiv w:val="1"/>
      <w:marLeft w:val="0"/>
      <w:marRight w:val="0"/>
      <w:marTop w:val="0"/>
      <w:marBottom w:val="0"/>
      <w:divBdr>
        <w:top w:val="none" w:sz="0" w:space="0" w:color="auto"/>
        <w:left w:val="none" w:sz="0" w:space="0" w:color="auto"/>
        <w:bottom w:val="none" w:sz="0" w:space="0" w:color="auto"/>
        <w:right w:val="none" w:sz="0" w:space="0" w:color="auto"/>
      </w:divBdr>
      <w:divsChild>
        <w:div w:id="1693189249">
          <w:marLeft w:val="0"/>
          <w:marRight w:val="0"/>
          <w:marTop w:val="144"/>
          <w:marBottom w:val="0"/>
          <w:divBdr>
            <w:top w:val="none" w:sz="0" w:space="0" w:color="auto"/>
            <w:left w:val="none" w:sz="0" w:space="0" w:color="auto"/>
            <w:bottom w:val="none" w:sz="0" w:space="0" w:color="auto"/>
            <w:right w:val="none" w:sz="0" w:space="0" w:color="auto"/>
          </w:divBdr>
        </w:div>
        <w:div w:id="1693262604">
          <w:marLeft w:val="0"/>
          <w:marRight w:val="0"/>
          <w:marTop w:val="144"/>
          <w:marBottom w:val="0"/>
          <w:divBdr>
            <w:top w:val="none" w:sz="0" w:space="0" w:color="auto"/>
            <w:left w:val="none" w:sz="0" w:space="0" w:color="auto"/>
            <w:bottom w:val="none" w:sz="0" w:space="0" w:color="auto"/>
            <w:right w:val="none" w:sz="0" w:space="0" w:color="auto"/>
          </w:divBdr>
        </w:div>
        <w:div w:id="1658222553">
          <w:marLeft w:val="0"/>
          <w:marRight w:val="0"/>
          <w:marTop w:val="144"/>
          <w:marBottom w:val="0"/>
          <w:divBdr>
            <w:top w:val="none" w:sz="0" w:space="0" w:color="auto"/>
            <w:left w:val="none" w:sz="0" w:space="0" w:color="auto"/>
            <w:bottom w:val="none" w:sz="0" w:space="0" w:color="auto"/>
            <w:right w:val="none" w:sz="0" w:space="0" w:color="auto"/>
          </w:divBdr>
        </w:div>
        <w:div w:id="446197072">
          <w:marLeft w:val="0"/>
          <w:marRight w:val="0"/>
          <w:marTop w:val="144"/>
          <w:marBottom w:val="0"/>
          <w:divBdr>
            <w:top w:val="none" w:sz="0" w:space="0" w:color="auto"/>
            <w:left w:val="none" w:sz="0" w:space="0" w:color="auto"/>
            <w:bottom w:val="none" w:sz="0" w:space="0" w:color="auto"/>
            <w:right w:val="none" w:sz="0" w:space="0" w:color="auto"/>
          </w:divBdr>
        </w:div>
      </w:divsChild>
    </w:div>
    <w:div w:id="1368027284">
      <w:bodyDiv w:val="1"/>
      <w:marLeft w:val="0"/>
      <w:marRight w:val="0"/>
      <w:marTop w:val="0"/>
      <w:marBottom w:val="0"/>
      <w:divBdr>
        <w:top w:val="none" w:sz="0" w:space="0" w:color="auto"/>
        <w:left w:val="none" w:sz="0" w:space="0" w:color="auto"/>
        <w:bottom w:val="none" w:sz="0" w:space="0" w:color="auto"/>
        <w:right w:val="none" w:sz="0" w:space="0" w:color="auto"/>
      </w:divBdr>
      <w:divsChild>
        <w:div w:id="1549536949">
          <w:marLeft w:val="0"/>
          <w:marRight w:val="0"/>
          <w:marTop w:val="0"/>
          <w:marBottom w:val="0"/>
          <w:divBdr>
            <w:top w:val="none" w:sz="0" w:space="0" w:color="auto"/>
            <w:left w:val="none" w:sz="0" w:space="0" w:color="auto"/>
            <w:bottom w:val="none" w:sz="0" w:space="0" w:color="auto"/>
            <w:right w:val="none" w:sz="0" w:space="0" w:color="auto"/>
          </w:divBdr>
          <w:divsChild>
            <w:div w:id="49693436">
              <w:marLeft w:val="0"/>
              <w:marRight w:val="0"/>
              <w:marTop w:val="0"/>
              <w:marBottom w:val="0"/>
              <w:divBdr>
                <w:top w:val="none" w:sz="0" w:space="0" w:color="auto"/>
                <w:left w:val="none" w:sz="0" w:space="0" w:color="auto"/>
                <w:bottom w:val="none" w:sz="0" w:space="0" w:color="auto"/>
                <w:right w:val="none" w:sz="0" w:space="0" w:color="auto"/>
              </w:divBdr>
              <w:divsChild>
                <w:div w:id="1839154021">
                  <w:marLeft w:val="0"/>
                  <w:marRight w:val="0"/>
                  <w:marTop w:val="0"/>
                  <w:marBottom w:val="0"/>
                  <w:divBdr>
                    <w:top w:val="none" w:sz="0" w:space="0" w:color="auto"/>
                    <w:left w:val="none" w:sz="0" w:space="0" w:color="auto"/>
                    <w:bottom w:val="none" w:sz="0" w:space="0" w:color="auto"/>
                    <w:right w:val="none" w:sz="0" w:space="0" w:color="auto"/>
                  </w:divBdr>
                  <w:divsChild>
                    <w:div w:id="1896817299">
                      <w:marLeft w:val="0"/>
                      <w:marRight w:val="0"/>
                      <w:marTop w:val="0"/>
                      <w:marBottom w:val="0"/>
                      <w:divBdr>
                        <w:top w:val="none" w:sz="0" w:space="0" w:color="auto"/>
                        <w:left w:val="none" w:sz="0" w:space="0" w:color="auto"/>
                        <w:bottom w:val="none" w:sz="0" w:space="0" w:color="auto"/>
                        <w:right w:val="none" w:sz="0" w:space="0" w:color="auto"/>
                      </w:divBdr>
                      <w:divsChild>
                        <w:div w:id="1320385781">
                          <w:marLeft w:val="0"/>
                          <w:marRight w:val="0"/>
                          <w:marTop w:val="0"/>
                          <w:marBottom w:val="0"/>
                          <w:divBdr>
                            <w:top w:val="none" w:sz="0" w:space="0" w:color="auto"/>
                            <w:left w:val="none" w:sz="0" w:space="0" w:color="auto"/>
                            <w:bottom w:val="none" w:sz="0" w:space="0" w:color="auto"/>
                            <w:right w:val="none" w:sz="0" w:space="0" w:color="auto"/>
                          </w:divBdr>
                          <w:divsChild>
                            <w:div w:id="522279714">
                              <w:marLeft w:val="0"/>
                              <w:marRight w:val="0"/>
                              <w:marTop w:val="0"/>
                              <w:marBottom w:val="0"/>
                              <w:divBdr>
                                <w:top w:val="none" w:sz="0" w:space="0" w:color="auto"/>
                                <w:left w:val="none" w:sz="0" w:space="0" w:color="auto"/>
                                <w:bottom w:val="none" w:sz="0" w:space="0" w:color="auto"/>
                                <w:right w:val="none" w:sz="0" w:space="0" w:color="auto"/>
                              </w:divBdr>
                              <w:divsChild>
                                <w:div w:id="1235429012">
                                  <w:marLeft w:val="0"/>
                                  <w:marRight w:val="0"/>
                                  <w:marTop w:val="0"/>
                                  <w:marBottom w:val="0"/>
                                  <w:divBdr>
                                    <w:top w:val="none" w:sz="0" w:space="0" w:color="auto"/>
                                    <w:left w:val="none" w:sz="0" w:space="0" w:color="auto"/>
                                    <w:bottom w:val="none" w:sz="0" w:space="0" w:color="auto"/>
                                    <w:right w:val="none" w:sz="0" w:space="0" w:color="auto"/>
                                  </w:divBdr>
                                  <w:divsChild>
                                    <w:div w:id="561411172">
                                      <w:marLeft w:val="0"/>
                                      <w:marRight w:val="0"/>
                                      <w:marTop w:val="0"/>
                                      <w:marBottom w:val="0"/>
                                      <w:divBdr>
                                        <w:top w:val="none" w:sz="0" w:space="0" w:color="auto"/>
                                        <w:left w:val="none" w:sz="0" w:space="0" w:color="auto"/>
                                        <w:bottom w:val="none" w:sz="0" w:space="0" w:color="auto"/>
                                        <w:right w:val="none" w:sz="0" w:space="0" w:color="auto"/>
                                      </w:divBdr>
                                      <w:divsChild>
                                        <w:div w:id="2603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0783375">
      <w:bodyDiv w:val="1"/>
      <w:marLeft w:val="0"/>
      <w:marRight w:val="0"/>
      <w:marTop w:val="0"/>
      <w:marBottom w:val="0"/>
      <w:divBdr>
        <w:top w:val="none" w:sz="0" w:space="0" w:color="auto"/>
        <w:left w:val="none" w:sz="0" w:space="0" w:color="auto"/>
        <w:bottom w:val="none" w:sz="0" w:space="0" w:color="auto"/>
        <w:right w:val="none" w:sz="0" w:space="0" w:color="auto"/>
      </w:divBdr>
      <w:divsChild>
        <w:div w:id="66614036">
          <w:marLeft w:val="547"/>
          <w:marRight w:val="0"/>
          <w:marTop w:val="0"/>
          <w:marBottom w:val="168"/>
          <w:divBdr>
            <w:top w:val="none" w:sz="0" w:space="0" w:color="auto"/>
            <w:left w:val="none" w:sz="0" w:space="0" w:color="auto"/>
            <w:bottom w:val="none" w:sz="0" w:space="0" w:color="auto"/>
            <w:right w:val="none" w:sz="0" w:space="0" w:color="auto"/>
          </w:divBdr>
        </w:div>
      </w:divsChild>
    </w:div>
    <w:div w:id="1861041371">
      <w:bodyDiv w:val="1"/>
      <w:marLeft w:val="0"/>
      <w:marRight w:val="0"/>
      <w:marTop w:val="0"/>
      <w:marBottom w:val="0"/>
      <w:divBdr>
        <w:top w:val="none" w:sz="0" w:space="0" w:color="auto"/>
        <w:left w:val="none" w:sz="0" w:space="0" w:color="auto"/>
        <w:bottom w:val="none" w:sz="0" w:space="0" w:color="auto"/>
        <w:right w:val="none" w:sz="0" w:space="0" w:color="auto"/>
      </w:divBdr>
    </w:div>
    <w:div w:id="1901943451">
      <w:bodyDiv w:val="1"/>
      <w:marLeft w:val="0"/>
      <w:marRight w:val="0"/>
      <w:marTop w:val="0"/>
      <w:marBottom w:val="0"/>
      <w:divBdr>
        <w:top w:val="none" w:sz="0" w:space="0" w:color="auto"/>
        <w:left w:val="none" w:sz="0" w:space="0" w:color="auto"/>
        <w:bottom w:val="none" w:sz="0" w:space="0" w:color="auto"/>
        <w:right w:val="none" w:sz="0" w:space="0" w:color="auto"/>
      </w:divBdr>
      <w:divsChild>
        <w:div w:id="1534685790">
          <w:marLeft w:val="0"/>
          <w:marRight w:val="0"/>
          <w:marTop w:val="144"/>
          <w:marBottom w:val="0"/>
          <w:divBdr>
            <w:top w:val="none" w:sz="0" w:space="0" w:color="auto"/>
            <w:left w:val="none" w:sz="0" w:space="0" w:color="auto"/>
            <w:bottom w:val="none" w:sz="0" w:space="0" w:color="auto"/>
            <w:right w:val="none" w:sz="0" w:space="0" w:color="auto"/>
          </w:divBdr>
        </w:div>
        <w:div w:id="1932933295">
          <w:marLeft w:val="0"/>
          <w:marRight w:val="0"/>
          <w:marTop w:val="144"/>
          <w:marBottom w:val="0"/>
          <w:divBdr>
            <w:top w:val="none" w:sz="0" w:space="0" w:color="auto"/>
            <w:left w:val="none" w:sz="0" w:space="0" w:color="auto"/>
            <w:bottom w:val="none" w:sz="0" w:space="0" w:color="auto"/>
            <w:right w:val="none" w:sz="0" w:space="0" w:color="auto"/>
          </w:divBdr>
        </w:div>
        <w:div w:id="1450121523">
          <w:marLeft w:val="0"/>
          <w:marRight w:val="0"/>
          <w:marTop w:val="144"/>
          <w:marBottom w:val="0"/>
          <w:divBdr>
            <w:top w:val="none" w:sz="0" w:space="0" w:color="auto"/>
            <w:left w:val="none" w:sz="0" w:space="0" w:color="auto"/>
            <w:bottom w:val="none" w:sz="0" w:space="0" w:color="auto"/>
            <w:right w:val="none" w:sz="0" w:space="0" w:color="auto"/>
          </w:divBdr>
        </w:div>
        <w:div w:id="717051940">
          <w:marLeft w:val="0"/>
          <w:marRight w:val="0"/>
          <w:marTop w:val="144"/>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image" Target="media/image12.png"/><Relationship Id="rId21" Type="http://schemas.openxmlformats.org/officeDocument/2006/relationships/chart" Target="charts/chart1.xml"/><Relationship Id="rId22" Type="http://schemas.openxmlformats.org/officeDocument/2006/relationships/image" Target="media/image13.png"/><Relationship Id="rId23" Type="http://schemas.openxmlformats.org/officeDocument/2006/relationships/image" Target="media/image14.png"/><Relationship Id="rId24" Type="http://schemas.openxmlformats.org/officeDocument/2006/relationships/header" Target="header1.xml"/><Relationship Id="rId25" Type="http://schemas.openxmlformats.org/officeDocument/2006/relationships/footer" Target="footer1.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emf"/><Relationship Id="rId17" Type="http://schemas.openxmlformats.org/officeDocument/2006/relationships/image" Target="media/image9.emf"/><Relationship Id="rId18" Type="http://schemas.openxmlformats.org/officeDocument/2006/relationships/image" Target="media/image10.png"/><Relationship Id="rId19" Type="http://schemas.openxmlformats.org/officeDocument/2006/relationships/image" Target="media/image11.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daryl_hill:Documents:DPH%202012:July%202012:May%202010:Documents:4Ps:Merseyside:Whole%20region%20review:Reports:Final%20Report:Executive%20Report:Final%20Report:20161126%20Review%20of%20RRC%20and%20WMRC%20contracts%20managed%20by%20MRWA%20vs.1.3.dotx" TargetMode="External"/></Relationships>
</file>

<file path=word/charts/_rels/chart1.xml.rels><?xml version="1.0" encoding="UTF-8" standalone="yes"?>
<Relationships xmlns="http://schemas.openxmlformats.org/package/2006/relationships"><Relationship Id="rId1" Type="http://schemas.openxmlformats.org/officeDocument/2006/relationships/themeOverride" Target="../theme/themeOverride1.xml"/><Relationship Id="rId2" Type="http://schemas.openxmlformats.org/officeDocument/2006/relationships/oleObject" Target="file:///C:\Users\x938779\Documents\merseyside\Contracts\disposal\paymech%20workin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areaChart>
        <c:grouping val="stacked"/>
        <c:varyColors val="0"/>
        <c:ser>
          <c:idx val="1"/>
          <c:order val="0"/>
          <c:tx>
            <c:strRef>
              <c:f>Sheet1!$A$4</c:f>
              <c:strCache>
                <c:ptCount val="1"/>
                <c:pt idx="0">
                  <c:v>Band 1</c:v>
                </c:pt>
              </c:strCache>
            </c:strRef>
          </c:tx>
          <c:cat>
            <c:numRef>
              <c:f>Sheet1!$C$3:$AD$3</c:f>
              <c:numCache>
                <c:formatCode>General</c:formatCode>
                <c:ptCount val="28"/>
                <c:pt idx="0">
                  <c:v>2017.0</c:v>
                </c:pt>
                <c:pt idx="1">
                  <c:v>2018.0</c:v>
                </c:pt>
                <c:pt idx="2">
                  <c:v>2019.0</c:v>
                </c:pt>
                <c:pt idx="3">
                  <c:v>2020.0</c:v>
                </c:pt>
                <c:pt idx="4">
                  <c:v>2021.0</c:v>
                </c:pt>
                <c:pt idx="5">
                  <c:v>2022.0</c:v>
                </c:pt>
                <c:pt idx="6">
                  <c:v>2023.0</c:v>
                </c:pt>
                <c:pt idx="7">
                  <c:v>2024.0</c:v>
                </c:pt>
                <c:pt idx="8">
                  <c:v>2025.0</c:v>
                </c:pt>
                <c:pt idx="9">
                  <c:v>2026.0</c:v>
                </c:pt>
                <c:pt idx="10">
                  <c:v>2027.0</c:v>
                </c:pt>
                <c:pt idx="11">
                  <c:v>2028.0</c:v>
                </c:pt>
                <c:pt idx="12">
                  <c:v>2029.0</c:v>
                </c:pt>
                <c:pt idx="13">
                  <c:v>2030.0</c:v>
                </c:pt>
                <c:pt idx="14">
                  <c:v>2031.0</c:v>
                </c:pt>
                <c:pt idx="15">
                  <c:v>2032.0</c:v>
                </c:pt>
                <c:pt idx="16">
                  <c:v>2033.0</c:v>
                </c:pt>
                <c:pt idx="17">
                  <c:v>2034.0</c:v>
                </c:pt>
                <c:pt idx="18">
                  <c:v>2035.0</c:v>
                </c:pt>
                <c:pt idx="19">
                  <c:v>2036.0</c:v>
                </c:pt>
                <c:pt idx="20">
                  <c:v>2037.0</c:v>
                </c:pt>
                <c:pt idx="21">
                  <c:v>2038.0</c:v>
                </c:pt>
                <c:pt idx="22">
                  <c:v>2039.0</c:v>
                </c:pt>
                <c:pt idx="23">
                  <c:v>2040.0</c:v>
                </c:pt>
                <c:pt idx="24">
                  <c:v>2041.0</c:v>
                </c:pt>
                <c:pt idx="25">
                  <c:v>2042.0</c:v>
                </c:pt>
                <c:pt idx="26">
                  <c:v>2043.0</c:v>
                </c:pt>
                <c:pt idx="27">
                  <c:v>2044.0</c:v>
                </c:pt>
              </c:numCache>
            </c:numRef>
          </c:cat>
          <c:val>
            <c:numRef>
              <c:f>Sheet1!$C$4:$AD$4</c:f>
              <c:numCache>
                <c:formatCode>_-* #,##0_-;\-* #,##0_-;_-* "-"??_-;_-@_-</c:formatCode>
                <c:ptCount val="28"/>
                <c:pt idx="0">
                  <c:v>224555.4818630136</c:v>
                </c:pt>
                <c:pt idx="1">
                  <c:v>401742.72</c:v>
                </c:pt>
                <c:pt idx="2">
                  <c:v>395710.5599999998</c:v>
                </c:pt>
                <c:pt idx="3">
                  <c:v>389678.3999999998</c:v>
                </c:pt>
                <c:pt idx="4">
                  <c:v>381707.6363636362</c:v>
                </c:pt>
                <c:pt idx="5">
                  <c:v>373736.8727272718</c:v>
                </c:pt>
                <c:pt idx="6">
                  <c:v>365766.1090909087</c:v>
                </c:pt>
                <c:pt idx="7">
                  <c:v>357795.3454545451</c:v>
                </c:pt>
                <c:pt idx="8">
                  <c:v>349824.5818181816</c:v>
                </c:pt>
                <c:pt idx="9">
                  <c:v>341853.8181818181</c:v>
                </c:pt>
                <c:pt idx="10">
                  <c:v>333883.0545454545</c:v>
                </c:pt>
                <c:pt idx="11">
                  <c:v>325912.290909091</c:v>
                </c:pt>
                <c:pt idx="12">
                  <c:v>317941.5272727273</c:v>
                </c:pt>
                <c:pt idx="13">
                  <c:v>309970.763636364</c:v>
                </c:pt>
                <c:pt idx="14">
                  <c:v>302000.0000000001</c:v>
                </c:pt>
                <c:pt idx="15">
                  <c:v>302000.0000000001</c:v>
                </c:pt>
                <c:pt idx="16">
                  <c:v>302000.0000000001</c:v>
                </c:pt>
                <c:pt idx="17">
                  <c:v>302000.0000000001</c:v>
                </c:pt>
                <c:pt idx="18">
                  <c:v>302000.0000000001</c:v>
                </c:pt>
                <c:pt idx="19">
                  <c:v>302000.0000000001</c:v>
                </c:pt>
                <c:pt idx="20">
                  <c:v>302000.0000000001</c:v>
                </c:pt>
                <c:pt idx="21">
                  <c:v>302000.0000000001</c:v>
                </c:pt>
                <c:pt idx="22">
                  <c:v>302000.0000000001</c:v>
                </c:pt>
                <c:pt idx="23">
                  <c:v>302000.0000000001</c:v>
                </c:pt>
                <c:pt idx="24">
                  <c:v>302000.0000000001</c:v>
                </c:pt>
                <c:pt idx="25">
                  <c:v>302000.0</c:v>
                </c:pt>
                <c:pt idx="26">
                  <c:v>302000.0</c:v>
                </c:pt>
                <c:pt idx="27">
                  <c:v>204665.3623910332</c:v>
                </c:pt>
              </c:numCache>
            </c:numRef>
          </c:val>
        </c:ser>
        <c:ser>
          <c:idx val="2"/>
          <c:order val="1"/>
          <c:tx>
            <c:strRef>
              <c:f>Sheet1!$A$5</c:f>
              <c:strCache>
                <c:ptCount val="1"/>
                <c:pt idx="0">
                  <c:v>Band 2</c:v>
                </c:pt>
              </c:strCache>
            </c:strRef>
          </c:tx>
          <c:cat>
            <c:numRef>
              <c:f>Sheet1!$C$3:$AD$3</c:f>
              <c:numCache>
                <c:formatCode>General</c:formatCode>
                <c:ptCount val="28"/>
                <c:pt idx="0">
                  <c:v>2017.0</c:v>
                </c:pt>
                <c:pt idx="1">
                  <c:v>2018.0</c:v>
                </c:pt>
                <c:pt idx="2">
                  <c:v>2019.0</c:v>
                </c:pt>
                <c:pt idx="3">
                  <c:v>2020.0</c:v>
                </c:pt>
                <c:pt idx="4">
                  <c:v>2021.0</c:v>
                </c:pt>
                <c:pt idx="5">
                  <c:v>2022.0</c:v>
                </c:pt>
                <c:pt idx="6">
                  <c:v>2023.0</c:v>
                </c:pt>
                <c:pt idx="7">
                  <c:v>2024.0</c:v>
                </c:pt>
                <c:pt idx="8">
                  <c:v>2025.0</c:v>
                </c:pt>
                <c:pt idx="9">
                  <c:v>2026.0</c:v>
                </c:pt>
                <c:pt idx="10">
                  <c:v>2027.0</c:v>
                </c:pt>
                <c:pt idx="11">
                  <c:v>2028.0</c:v>
                </c:pt>
                <c:pt idx="12">
                  <c:v>2029.0</c:v>
                </c:pt>
                <c:pt idx="13">
                  <c:v>2030.0</c:v>
                </c:pt>
                <c:pt idx="14">
                  <c:v>2031.0</c:v>
                </c:pt>
                <c:pt idx="15">
                  <c:v>2032.0</c:v>
                </c:pt>
                <c:pt idx="16">
                  <c:v>2033.0</c:v>
                </c:pt>
                <c:pt idx="17">
                  <c:v>2034.0</c:v>
                </c:pt>
                <c:pt idx="18">
                  <c:v>2035.0</c:v>
                </c:pt>
                <c:pt idx="19">
                  <c:v>2036.0</c:v>
                </c:pt>
                <c:pt idx="20">
                  <c:v>2037.0</c:v>
                </c:pt>
                <c:pt idx="21">
                  <c:v>2038.0</c:v>
                </c:pt>
                <c:pt idx="22">
                  <c:v>2039.0</c:v>
                </c:pt>
                <c:pt idx="23">
                  <c:v>2040.0</c:v>
                </c:pt>
                <c:pt idx="24">
                  <c:v>2041.0</c:v>
                </c:pt>
                <c:pt idx="25">
                  <c:v>2042.0</c:v>
                </c:pt>
                <c:pt idx="26">
                  <c:v>2043.0</c:v>
                </c:pt>
                <c:pt idx="27">
                  <c:v>2044.0</c:v>
                </c:pt>
              </c:numCache>
            </c:numRef>
          </c:cat>
          <c:val>
            <c:numRef>
              <c:f>Sheet1!$C$5:$AD$5</c:f>
              <c:numCache>
                <c:formatCode>_-* #,##0_-;\-* #,##0_-;_-* "-"??_-;_-@_-</c:formatCode>
                <c:ptCount val="28"/>
                <c:pt idx="0">
                  <c:v>1365.456219178043</c:v>
                </c:pt>
                <c:pt idx="1">
                  <c:v>44638.08000000003</c:v>
                </c:pt>
                <c:pt idx="2">
                  <c:v>43967.83999999998</c:v>
                </c:pt>
                <c:pt idx="3">
                  <c:v>43297.59999999998</c:v>
                </c:pt>
                <c:pt idx="4">
                  <c:v>51994.15484766202</c:v>
                </c:pt>
                <c:pt idx="5">
                  <c:v>60692.16187644814</c:v>
                </c:pt>
                <c:pt idx="6">
                  <c:v>69391.62339201913</c:v>
                </c:pt>
                <c:pt idx="7">
                  <c:v>78092.54230334864</c:v>
                </c:pt>
                <c:pt idx="8">
                  <c:v>86794.92152522807</c:v>
                </c:pt>
                <c:pt idx="9">
                  <c:v>95498.76397827837</c:v>
                </c:pt>
                <c:pt idx="10">
                  <c:v>104204.0725889624</c:v>
                </c:pt>
                <c:pt idx="11">
                  <c:v>112910.8502895947</c:v>
                </c:pt>
                <c:pt idx="12">
                  <c:v>121619.1000183558</c:v>
                </c:pt>
                <c:pt idx="13">
                  <c:v>130328.8247193016</c:v>
                </c:pt>
                <c:pt idx="14">
                  <c:v>139040.0273423765</c:v>
                </c:pt>
                <c:pt idx="15">
                  <c:v>139781.9472070614</c:v>
                </c:pt>
                <c:pt idx="16">
                  <c:v>140525.3509114754</c:v>
                </c:pt>
                <c:pt idx="17">
                  <c:v>141270.2414232983</c:v>
                </c:pt>
                <c:pt idx="18">
                  <c:v>142016.6217161446</c:v>
                </c:pt>
                <c:pt idx="19">
                  <c:v>142764.4947695773</c:v>
                </c:pt>
                <c:pt idx="20">
                  <c:v>143513.8635691165</c:v>
                </c:pt>
                <c:pt idx="21">
                  <c:v>144263.9999999999</c:v>
                </c:pt>
                <c:pt idx="22">
                  <c:v>145015.9999999999</c:v>
                </c:pt>
                <c:pt idx="23">
                  <c:v>145768.9999999999</c:v>
                </c:pt>
                <c:pt idx="24">
                  <c:v>146522.9999999999</c:v>
                </c:pt>
                <c:pt idx="25">
                  <c:v>147278.0</c:v>
                </c:pt>
                <c:pt idx="26">
                  <c:v>148041.0</c:v>
                </c:pt>
                <c:pt idx="27">
                  <c:v>123585.6333798266</c:v>
                </c:pt>
              </c:numCache>
            </c:numRef>
          </c:val>
        </c:ser>
        <c:ser>
          <c:idx val="3"/>
          <c:order val="2"/>
          <c:tx>
            <c:strRef>
              <c:f>Sheet1!$A$6</c:f>
              <c:strCache>
                <c:ptCount val="1"/>
                <c:pt idx="0">
                  <c:v>Band 3</c:v>
                </c:pt>
              </c:strCache>
            </c:strRef>
          </c:tx>
          <c:cat>
            <c:numRef>
              <c:f>Sheet1!$C$3:$AD$3</c:f>
              <c:numCache>
                <c:formatCode>General</c:formatCode>
                <c:ptCount val="28"/>
                <c:pt idx="0">
                  <c:v>2017.0</c:v>
                </c:pt>
                <c:pt idx="1">
                  <c:v>2018.0</c:v>
                </c:pt>
                <c:pt idx="2">
                  <c:v>2019.0</c:v>
                </c:pt>
                <c:pt idx="3">
                  <c:v>2020.0</c:v>
                </c:pt>
                <c:pt idx="4">
                  <c:v>2021.0</c:v>
                </c:pt>
                <c:pt idx="5">
                  <c:v>2022.0</c:v>
                </c:pt>
                <c:pt idx="6">
                  <c:v>2023.0</c:v>
                </c:pt>
                <c:pt idx="7">
                  <c:v>2024.0</c:v>
                </c:pt>
                <c:pt idx="8">
                  <c:v>2025.0</c:v>
                </c:pt>
                <c:pt idx="9">
                  <c:v>2026.0</c:v>
                </c:pt>
                <c:pt idx="10">
                  <c:v>2027.0</c:v>
                </c:pt>
                <c:pt idx="11">
                  <c:v>2028.0</c:v>
                </c:pt>
                <c:pt idx="12">
                  <c:v>2029.0</c:v>
                </c:pt>
                <c:pt idx="13">
                  <c:v>2030.0</c:v>
                </c:pt>
                <c:pt idx="14">
                  <c:v>2031.0</c:v>
                </c:pt>
                <c:pt idx="15">
                  <c:v>2032.0</c:v>
                </c:pt>
                <c:pt idx="16">
                  <c:v>2033.0</c:v>
                </c:pt>
                <c:pt idx="17">
                  <c:v>2034.0</c:v>
                </c:pt>
                <c:pt idx="18">
                  <c:v>2035.0</c:v>
                </c:pt>
                <c:pt idx="19">
                  <c:v>2036.0</c:v>
                </c:pt>
                <c:pt idx="20">
                  <c:v>2037.0</c:v>
                </c:pt>
                <c:pt idx="21">
                  <c:v>2038.0</c:v>
                </c:pt>
                <c:pt idx="22">
                  <c:v>2039.0</c:v>
                </c:pt>
                <c:pt idx="23">
                  <c:v>2040.0</c:v>
                </c:pt>
                <c:pt idx="24">
                  <c:v>2041.0</c:v>
                </c:pt>
                <c:pt idx="25">
                  <c:v>2042.0</c:v>
                </c:pt>
                <c:pt idx="26">
                  <c:v>2043.0</c:v>
                </c:pt>
                <c:pt idx="27">
                  <c:v>2044.0</c:v>
                </c:pt>
              </c:numCache>
            </c:numRef>
          </c:cat>
          <c:val>
            <c:numRef>
              <c:f>Sheet1!$C$6:$AD$6</c:f>
              <c:numCache>
                <c:formatCode>_-* #,##0_-;\-* #,##0_-;_-* "-"??_-;_-@_-</c:formatCode>
                <c:ptCount val="28"/>
                <c:pt idx="0">
                  <c:v>11296.04690410959</c:v>
                </c:pt>
                <c:pt idx="1">
                  <c:v>17510.40000000008</c:v>
                </c:pt>
                <c:pt idx="2">
                  <c:v>21983.91999999998</c:v>
                </c:pt>
                <c:pt idx="3">
                  <c:v>21648.79999999998</c:v>
                </c:pt>
                <c:pt idx="4">
                  <c:v>21685.08956056496</c:v>
                </c:pt>
                <c:pt idx="5">
                  <c:v>21721.45173018606</c:v>
                </c:pt>
                <c:pt idx="6">
                  <c:v>21757.88662414643</c:v>
                </c:pt>
                <c:pt idx="7">
                  <c:v>21794.39438789472</c:v>
                </c:pt>
                <c:pt idx="8">
                  <c:v>21830.97516717052</c:v>
                </c:pt>
                <c:pt idx="9">
                  <c:v>21867.62910800485</c:v>
                </c:pt>
                <c:pt idx="10">
                  <c:v>21904.35635672085</c:v>
                </c:pt>
                <c:pt idx="11">
                  <c:v>21941.15705993428</c:v>
                </c:pt>
                <c:pt idx="12">
                  <c:v>21978.0313645542</c:v>
                </c:pt>
                <c:pt idx="13">
                  <c:v>22014.97941778327</c:v>
                </c:pt>
                <c:pt idx="14">
                  <c:v>22052.00136711885</c:v>
                </c:pt>
                <c:pt idx="15">
                  <c:v>22089.0973603531</c:v>
                </c:pt>
                <c:pt idx="16">
                  <c:v>21365.84908852447</c:v>
                </c:pt>
                <c:pt idx="17">
                  <c:v>20620.95857670158</c:v>
                </c:pt>
                <c:pt idx="18">
                  <c:v>19874.57828385493</c:v>
                </c:pt>
                <c:pt idx="19">
                  <c:v>19126.70523042255</c:v>
                </c:pt>
                <c:pt idx="20">
                  <c:v>18377.33643088338</c:v>
                </c:pt>
                <c:pt idx="21">
                  <c:v>17627.19999999995</c:v>
                </c:pt>
                <c:pt idx="22">
                  <c:v>16875.19999999995</c:v>
                </c:pt>
                <c:pt idx="23">
                  <c:v>16122.20000000001</c:v>
                </c:pt>
                <c:pt idx="24">
                  <c:v>15368.19999999995</c:v>
                </c:pt>
                <c:pt idx="25">
                  <c:v>14613.19999999995</c:v>
                </c:pt>
                <c:pt idx="26">
                  <c:v>13850.19999999995</c:v>
                </c:pt>
                <c:pt idx="27">
                  <c:v>16412.54978854302</c:v>
                </c:pt>
              </c:numCache>
            </c:numRef>
          </c:val>
        </c:ser>
        <c:dLbls>
          <c:showLegendKey val="0"/>
          <c:showVal val="0"/>
          <c:showCatName val="0"/>
          <c:showSerName val="0"/>
          <c:showPercent val="0"/>
          <c:showBubbleSize val="0"/>
        </c:dLbls>
        <c:axId val="-2113673176"/>
        <c:axId val="-2146331304"/>
      </c:areaChart>
      <c:catAx>
        <c:axId val="-2113673176"/>
        <c:scaling>
          <c:orientation val="minMax"/>
        </c:scaling>
        <c:delete val="0"/>
        <c:axPos val="b"/>
        <c:numFmt formatCode="General" sourceLinked="1"/>
        <c:majorTickMark val="out"/>
        <c:minorTickMark val="none"/>
        <c:tickLblPos val="nextTo"/>
        <c:crossAx val="-2146331304"/>
        <c:crosses val="autoZero"/>
        <c:auto val="1"/>
        <c:lblAlgn val="ctr"/>
        <c:lblOffset val="100"/>
        <c:noMultiLvlLbl val="0"/>
      </c:catAx>
      <c:valAx>
        <c:axId val="-2146331304"/>
        <c:scaling>
          <c:orientation val="minMax"/>
        </c:scaling>
        <c:delete val="0"/>
        <c:axPos val="l"/>
        <c:majorGridlines/>
        <c:title>
          <c:tx>
            <c:rich>
              <a:bodyPr rot="-5400000" vert="horz"/>
              <a:lstStyle/>
              <a:p>
                <a:pPr>
                  <a:defRPr/>
                </a:pPr>
                <a:r>
                  <a:rPr lang="en-US"/>
                  <a:t>TPA</a:t>
                </a:r>
              </a:p>
            </c:rich>
          </c:tx>
          <c:layout/>
          <c:overlay val="0"/>
        </c:title>
        <c:numFmt formatCode="_-* #,##0_-;\-* #,##0_-;_-* &quot;-&quot;??_-;_-@_-" sourceLinked="1"/>
        <c:majorTickMark val="out"/>
        <c:minorTickMark val="none"/>
        <c:tickLblPos val="nextTo"/>
        <c:crossAx val="-2113673176"/>
        <c:crosses val="autoZero"/>
        <c:crossBetween val="midCat"/>
      </c:valAx>
    </c:plotArea>
    <c:legend>
      <c:legendPos val="r"/>
      <c:layout/>
      <c:overlay val="0"/>
    </c:legend>
    <c:plotVisOnly val="1"/>
    <c:dispBlanksAs val="zero"/>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15512-7F53-3541-B4C0-D616913C6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20161126 Review of RRC and WMRC contracts managed by MRWA vs.1.3.dotx</Template>
  <TotalTime>6</TotalTime>
  <Pages>24</Pages>
  <Words>9409</Words>
  <Characters>48367</Characters>
  <Application>Microsoft Macintosh Word</Application>
  <DocSecurity>0</DocSecurity>
  <Lines>1179</Lines>
  <Paragraphs>595</Paragraphs>
  <ScaleCrop>false</ScaleCrop>
  <HeadingPairs>
    <vt:vector size="2" baseType="variant">
      <vt:variant>
        <vt:lpstr>Title</vt:lpstr>
      </vt:variant>
      <vt:variant>
        <vt:i4>1</vt:i4>
      </vt:variant>
    </vt:vector>
  </HeadingPairs>
  <TitlesOfParts>
    <vt:vector size="1" baseType="lpstr">
      <vt:lpstr/>
    </vt:vector>
  </TitlesOfParts>
  <Manager/>
  <Company>LGA</Company>
  <LinksUpToDate>false</LinksUpToDate>
  <CharactersWithSpaces>57181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Daryl Hill</dc:creator>
  <cp:keywords/>
  <dc:description/>
  <cp:lastModifiedBy>Daryl Hill</cp:lastModifiedBy>
  <cp:revision>1</cp:revision>
  <dcterms:created xsi:type="dcterms:W3CDTF">2017-09-29T13:26:00Z</dcterms:created>
  <dcterms:modified xsi:type="dcterms:W3CDTF">2017-09-29T13:46:00Z</dcterms:modified>
  <cp:category/>
</cp:coreProperties>
</file>