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0A" w:rsidRDefault="00764F8C" w:rsidP="004701E7">
      <w:pPr>
        <w:pStyle w:val="Title"/>
      </w:pPr>
      <w:r>
        <w:fldChar w:fldCharType="begin"/>
      </w:r>
      <w:r>
        <w:instrText xml:space="preserve"> DOCPROPERTY  Title \* MERGEFORMAT </w:instrText>
      </w:r>
      <w:r>
        <w:fldChar w:fldCharType="separate"/>
      </w:r>
      <w:r w:rsidR="009A3CDD">
        <w:t>Resource Recovery Contract - Progress Update</w:t>
      </w:r>
      <w:r>
        <w:fldChar w:fldCharType="end"/>
      </w:r>
    </w:p>
    <w:p w:rsidR="004A7E0A" w:rsidRDefault="00130128" w:rsidP="004701E7">
      <w:pPr>
        <w:pStyle w:val="Reference"/>
      </w:pPr>
      <w:r>
        <w:t>WDA/20/17</w:t>
      </w:r>
    </w:p>
    <w:p w:rsidR="004A7E0A" w:rsidRDefault="004A7E0A"/>
    <w:p w:rsidR="004A7E0A" w:rsidRDefault="004A7E0A"/>
    <w:p w:rsidR="004A7E0A" w:rsidRDefault="004A7E0A"/>
    <w:p w:rsidR="004A7E0A" w:rsidRDefault="004A7E0A" w:rsidP="00E346F9">
      <w:pPr>
        <w:pStyle w:val="Headingnonum"/>
      </w:pPr>
      <w:r w:rsidRPr="004A7E0A">
        <w:t>Recommendation</w:t>
      </w:r>
    </w:p>
    <w:p w:rsidR="00311655" w:rsidRDefault="00311655" w:rsidP="00311655"/>
    <w:p w:rsidR="00311655" w:rsidRDefault="00311655" w:rsidP="00311655">
      <w:pPr>
        <w:ind w:left="510"/>
      </w:pPr>
      <w:r>
        <w:t>That:</w:t>
      </w:r>
    </w:p>
    <w:p w:rsidR="00311655" w:rsidRPr="00311655" w:rsidRDefault="00311655" w:rsidP="00311655"/>
    <w:p w:rsidR="00311655" w:rsidRDefault="0053045B" w:rsidP="00311655">
      <w:pPr>
        <w:pStyle w:val="ListNumber"/>
      </w:pPr>
      <w:r>
        <w:t xml:space="preserve">Members note the </w:t>
      </w:r>
      <w:r w:rsidR="00D13913">
        <w:t xml:space="preserve">current </w:t>
      </w:r>
      <w:r w:rsidR="00B700D9">
        <w:t>position regarding</w:t>
      </w:r>
      <w:r w:rsidR="00F80BEB">
        <w:t xml:space="preserve"> delivery of the</w:t>
      </w:r>
      <w:r>
        <w:t xml:space="preserve"> </w:t>
      </w:r>
      <w:r w:rsidR="00D7100B">
        <w:t>Authority’s ‘</w:t>
      </w:r>
      <w:r>
        <w:t>Resource Recovery Contract</w:t>
      </w:r>
      <w:r w:rsidR="00D7100B">
        <w:t>’</w:t>
      </w:r>
      <w:r>
        <w:t xml:space="preserve"> </w:t>
      </w:r>
      <w:r w:rsidR="00F80BEB">
        <w:t>and the key issues currently arising</w:t>
      </w:r>
      <w:r w:rsidR="002414A6">
        <w:t>.</w:t>
      </w:r>
    </w:p>
    <w:p w:rsidR="00EA7DC7" w:rsidRDefault="00EA7DC7" w:rsidP="00C72247">
      <w:pPr>
        <w:pStyle w:val="ListNumber"/>
        <w:numPr>
          <w:ilvl w:val="0"/>
          <w:numId w:val="0"/>
        </w:numPr>
        <w:ind w:left="850"/>
      </w:pPr>
    </w:p>
    <w:p w:rsidR="00EA7DC7" w:rsidRDefault="00EA7DC7" w:rsidP="00D13913">
      <w:pPr>
        <w:pStyle w:val="ListNumber"/>
        <w:numPr>
          <w:ilvl w:val="0"/>
          <w:numId w:val="0"/>
        </w:numPr>
      </w:pPr>
    </w:p>
    <w:p w:rsidR="00493E79" w:rsidRDefault="00493E79" w:rsidP="0053045B">
      <w:pPr>
        <w:pStyle w:val="ListNumber"/>
        <w:numPr>
          <w:ilvl w:val="0"/>
          <w:numId w:val="0"/>
        </w:numPr>
        <w:ind w:left="510"/>
      </w:pPr>
    </w:p>
    <w:p w:rsidR="004A7E0A" w:rsidRDefault="004A7E0A"/>
    <w:p w:rsidR="004A7E0A" w:rsidRDefault="00493E79">
      <w:r>
        <w:br w:type="page"/>
      </w:r>
    </w:p>
    <w:p w:rsidR="004A7E0A" w:rsidRDefault="004A7E0A"/>
    <w:p w:rsidR="004A7E0A" w:rsidRDefault="004A7E0A"/>
    <w:p w:rsidR="004A7E0A" w:rsidRDefault="004A7E0A"/>
    <w:p w:rsidR="00283990" w:rsidRDefault="00283990"/>
    <w:p w:rsidR="00283990" w:rsidRDefault="00283990"/>
    <w:p w:rsidR="00283990" w:rsidRDefault="00283990"/>
    <w:p w:rsidR="00283990" w:rsidRDefault="00283990"/>
    <w:p w:rsidR="00283990" w:rsidRDefault="00283990"/>
    <w:p w:rsidR="00DA3FF8" w:rsidRDefault="00DA3FF8"/>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4A7E0A" w:rsidRDefault="004A7E0A" w:rsidP="00283990">
      <w:pPr>
        <w:jc w:val="center"/>
      </w:pPr>
      <w:r>
        <w:t>THIS PAGE INTENTIONALLY BLANK</w:t>
      </w:r>
    </w:p>
    <w:p w:rsidR="00016F38" w:rsidRDefault="004A7E0A" w:rsidP="00130128">
      <w:pPr>
        <w:pStyle w:val="Headingnonum"/>
      </w:pPr>
      <w:r>
        <w:br w:type="page"/>
      </w:r>
      <w:r w:rsidR="00EC47E5">
        <w:lastRenderedPageBreak/>
        <w:fldChar w:fldCharType="begin"/>
      </w:r>
      <w:r w:rsidR="00EC47E5">
        <w:instrText xml:space="preserve"> DOCPROPERTY  Title \* MERGEFORMAT </w:instrText>
      </w:r>
      <w:r w:rsidR="00EC47E5">
        <w:fldChar w:fldCharType="separate"/>
      </w:r>
      <w:r w:rsidR="009A3CDD">
        <w:t>Resource Recovery Contract - Progress Update</w:t>
      </w:r>
      <w:r w:rsidR="00EC47E5">
        <w:fldChar w:fldCharType="end"/>
      </w:r>
    </w:p>
    <w:p w:rsidR="00016F38" w:rsidRDefault="00130128" w:rsidP="00016F38">
      <w:pPr>
        <w:pStyle w:val="Reference"/>
      </w:pPr>
      <w:r>
        <w:t>WDA/20/17</w:t>
      </w:r>
    </w:p>
    <w:p w:rsidR="00681FBD" w:rsidRDefault="00681FBD"/>
    <w:p w:rsidR="00681FBD" w:rsidRPr="008D7199" w:rsidRDefault="00A90EA7" w:rsidP="005B47A2">
      <w:pPr>
        <w:pStyle w:val="Headingnonum"/>
        <w:jc w:val="center"/>
      </w:pPr>
      <w:r w:rsidRPr="008D7199">
        <w:t xml:space="preserve">Report of </w:t>
      </w:r>
      <w:r w:rsidR="006876D8">
        <w:t xml:space="preserve">the </w:t>
      </w:r>
      <w:r w:rsidR="00EC47E5">
        <w:fldChar w:fldCharType="begin"/>
      </w:r>
      <w:r w:rsidR="00EC47E5">
        <w:instrText xml:space="preserve"> DOCPROPERTY  ReportOriginator \* MERGEFORMAT </w:instrText>
      </w:r>
      <w:r w:rsidR="00EC47E5">
        <w:fldChar w:fldCharType="separate"/>
      </w:r>
      <w:r w:rsidR="009A3CDD">
        <w:t>Chief Executive</w:t>
      </w:r>
      <w:r w:rsidR="00EC47E5">
        <w:fldChar w:fldCharType="end"/>
      </w:r>
    </w:p>
    <w:p w:rsidR="00681FBD" w:rsidRDefault="00681FBD"/>
    <w:p w:rsidR="008D7199" w:rsidRDefault="004701E7" w:rsidP="008C3AD4">
      <w:pPr>
        <w:pStyle w:val="Heading1"/>
      </w:pPr>
      <w:r>
        <w:t>Purpose of the Report</w:t>
      </w:r>
    </w:p>
    <w:p w:rsidR="0040141A" w:rsidRDefault="0040141A" w:rsidP="008C3AD4">
      <w:pPr>
        <w:pStyle w:val="Bodytextnumbered"/>
        <w:jc w:val="both"/>
      </w:pPr>
      <w:r>
        <w:t>This report provides the Authority with an update on the progress of construction</w:t>
      </w:r>
      <w:r w:rsidR="008910F9">
        <w:t xml:space="preserve"> and</w:t>
      </w:r>
      <w:r>
        <w:t xml:space="preserve"> commissioning of the</w:t>
      </w:r>
      <w:r w:rsidR="006B383A">
        <w:t xml:space="preserve"> Resource Recovery Contract (RRC)</w:t>
      </w:r>
      <w:r w:rsidR="00D13913">
        <w:t>,</w:t>
      </w:r>
      <w:r w:rsidR="00E72ABE">
        <w:t xml:space="preserve"> </w:t>
      </w:r>
      <w:r w:rsidR="00D13913">
        <w:t>and the arrangements for disposal of the Authority’s residual waste until operational full service commences</w:t>
      </w:r>
      <w:r w:rsidR="001D7D6D">
        <w:t>.</w:t>
      </w:r>
    </w:p>
    <w:p w:rsidR="004701E7" w:rsidRDefault="004701E7" w:rsidP="00E346F9">
      <w:pPr>
        <w:pStyle w:val="Heading1"/>
      </w:pPr>
      <w:r>
        <w:t>Background</w:t>
      </w:r>
    </w:p>
    <w:p w:rsidR="009D7827" w:rsidRDefault="00BA1DDA" w:rsidP="00DC64DF">
      <w:pPr>
        <w:pStyle w:val="Bodytextnumbered"/>
        <w:jc w:val="both"/>
      </w:pPr>
      <w:r>
        <w:t>Update</w:t>
      </w:r>
      <w:r w:rsidR="00903034">
        <w:t xml:space="preserve"> report</w:t>
      </w:r>
      <w:r>
        <w:t>s</w:t>
      </w:r>
      <w:r w:rsidR="00903034">
        <w:t xml:space="preserve"> </w:t>
      </w:r>
      <w:r>
        <w:t>have previously been</w:t>
      </w:r>
      <w:r w:rsidR="00903034">
        <w:t xml:space="preserve"> presented </w:t>
      </w:r>
      <w:r w:rsidR="001D7D6D">
        <w:t>at the Authority meeting</w:t>
      </w:r>
      <w:r>
        <w:t>s</w:t>
      </w:r>
      <w:r w:rsidR="001D7D6D">
        <w:t xml:space="preserve"> on 25</w:t>
      </w:r>
      <w:r w:rsidR="001D7D6D" w:rsidRPr="001D7D6D">
        <w:rPr>
          <w:vertAlign w:val="superscript"/>
        </w:rPr>
        <w:t>th</w:t>
      </w:r>
      <w:r w:rsidR="001D7D6D">
        <w:t xml:space="preserve"> November 2016</w:t>
      </w:r>
      <w:r w:rsidR="00B27477">
        <w:t>,</w:t>
      </w:r>
      <w:r>
        <w:t xml:space="preserve"> 3</w:t>
      </w:r>
      <w:r w:rsidRPr="00BA1DDA">
        <w:rPr>
          <w:vertAlign w:val="superscript"/>
        </w:rPr>
        <w:t>rd</w:t>
      </w:r>
      <w:r w:rsidR="00B27477">
        <w:t xml:space="preserve"> February and 21</w:t>
      </w:r>
      <w:r w:rsidR="00B27477" w:rsidRPr="00B27477">
        <w:rPr>
          <w:vertAlign w:val="superscript"/>
        </w:rPr>
        <w:t>st</w:t>
      </w:r>
      <w:r w:rsidR="00B27477">
        <w:t xml:space="preserve"> April 2017</w:t>
      </w:r>
      <w:r w:rsidR="001D7D6D">
        <w:t xml:space="preserve">. </w:t>
      </w:r>
      <w:r>
        <w:t>Additional</w:t>
      </w:r>
      <w:r w:rsidR="001D7D6D">
        <w:t xml:space="preserve"> background detail to the Contract is contained within th</w:t>
      </w:r>
      <w:r>
        <w:t>ose</w:t>
      </w:r>
      <w:r w:rsidR="001D7D6D">
        <w:t xml:space="preserve"> report</w:t>
      </w:r>
      <w:r>
        <w:t>s</w:t>
      </w:r>
      <w:r w:rsidR="001D7D6D">
        <w:t>.</w:t>
      </w:r>
    </w:p>
    <w:p w:rsidR="00D13913" w:rsidRDefault="00D13913" w:rsidP="00DC64DF">
      <w:pPr>
        <w:pStyle w:val="Bodytextnumbered"/>
        <w:jc w:val="both"/>
      </w:pPr>
      <w:r>
        <w:t>MRWA have a contract with Merseyside Energy Recovery Ltd. (MERL)</w:t>
      </w:r>
      <w:r w:rsidR="00032C3A">
        <w:t>, signed in December 2013,</w:t>
      </w:r>
      <w:r>
        <w:t xml:space="preserve"> for waste management transfer and treatment services on behalf of Merseyside and Halton.</w:t>
      </w:r>
    </w:p>
    <w:p w:rsidR="00D13913" w:rsidRDefault="00D13913" w:rsidP="00DC64DF">
      <w:pPr>
        <w:pStyle w:val="Bodytextnumbered"/>
        <w:jc w:val="both"/>
      </w:pPr>
      <w:r>
        <w:t>MERL has sub-contracted both the construction of the facilities and the operation and maintenance of the contractual delivery to waste management company, Suez.</w:t>
      </w:r>
      <w:r w:rsidR="00080B51">
        <w:t xml:space="preserve"> Upon satisfactory completion of construction and commissioning, the plants are handed from the construction sub-contractor to Suez for operation. Once MERL move from commissioning to full operation (termed Facility Operation Date, FOD), only then do they take on full contractual liability for the Authority’s residual waste.</w:t>
      </w:r>
      <w:r w:rsidR="00F778DF">
        <w:t xml:space="preserve"> Until then, MERL </w:t>
      </w:r>
      <w:r w:rsidR="002D32E9">
        <w:t>does</w:t>
      </w:r>
      <w:r w:rsidR="00F778DF">
        <w:t xml:space="preserve"> retain contractual exclusivity over MRWA’s residual waste for the purpose of commissioning, as and when they request it.</w:t>
      </w:r>
    </w:p>
    <w:p w:rsidR="004701E7" w:rsidRDefault="0084765E" w:rsidP="00E8093A">
      <w:pPr>
        <w:pStyle w:val="Heading1"/>
      </w:pPr>
      <w:r>
        <w:rPr>
          <w:noProof/>
        </w:rPr>
        <mc:AlternateContent>
          <mc:Choice Requires="wps">
            <w:drawing>
              <wp:anchor distT="0" distB="0" distL="114300" distR="114300" simplePos="0" relativeHeight="251657728" behindDoc="0" locked="0" layoutInCell="1" allowOverlap="0" wp14:anchorId="7D8BEABF" wp14:editId="7BB99E70">
                <wp:simplePos x="0" y="0"/>
                <wp:positionH relativeFrom="page">
                  <wp:posOffset>801370</wp:posOffset>
                </wp:positionH>
                <wp:positionV relativeFrom="margin">
                  <wp:posOffset>9032240</wp:posOffset>
                </wp:positionV>
                <wp:extent cx="588137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MeetingType"/>
                          <w:p w:rsidR="00BA1CBE" w:rsidRDefault="00BA1CBE" w:rsidP="00283990">
                            <w:pPr>
                              <w:pStyle w:val="Headingnonum"/>
                            </w:pPr>
                            <w:r>
                              <w:fldChar w:fldCharType="begin"/>
                            </w:r>
                            <w:r>
                              <w:instrText xml:space="preserve"> DOCPROPERTY  MeetingType \* MERGEFORMAT </w:instrText>
                            </w:r>
                            <w:r>
                              <w:fldChar w:fldCharType="separate"/>
                            </w:r>
                            <w:r w:rsidR="009A3CDD">
                              <w:t>Merseyside Waste Disposal Authority</w:t>
                            </w:r>
                            <w:r>
                              <w:fldChar w:fldCharType="end"/>
                            </w:r>
                          </w:p>
                          <w:bookmarkEnd w:id="0"/>
                          <w:p w:rsidR="00BA1CBE" w:rsidRDefault="00130128" w:rsidP="00283990">
                            <w:pPr>
                              <w:pStyle w:val="Headingnonum"/>
                            </w:pPr>
                            <w:r>
                              <w:t>23</w:t>
                            </w:r>
                            <w:r>
                              <w:rPr>
                                <w:vertAlign w:val="superscript"/>
                              </w:rPr>
                              <w:t xml:space="preserve">rd </w:t>
                            </w:r>
                            <w:r>
                              <w:t>June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1pt;margin-top:711.2pt;width:463.1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b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kfDcHUwW2eB7GgWud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" o:allowoverlap="f" filled="f" stroked="f">
                <v:textbox>
                  <w:txbxContent>
                    <w:bookmarkStart w:id="1" w:name="MeetingType"/>
                    <w:p w:rsidR="00BA1CBE" w:rsidRDefault="00BA1CBE" w:rsidP="00283990">
                      <w:pPr>
                        <w:pStyle w:val="Headingnonum"/>
                      </w:pPr>
                      <w:r>
                        <w:fldChar w:fldCharType="begin"/>
                      </w:r>
                      <w:r>
                        <w:instrText xml:space="preserve"> DOCPROPERTY  MeetingType \* MERGEFORMAT </w:instrText>
                      </w:r>
                      <w:r>
                        <w:fldChar w:fldCharType="separate"/>
                      </w:r>
                      <w:r w:rsidR="009A3CDD">
                        <w:t>Merseyside Waste Disposal Authority</w:t>
                      </w:r>
                      <w:r>
                        <w:fldChar w:fldCharType="end"/>
                      </w:r>
                    </w:p>
                    <w:bookmarkEnd w:id="1"/>
                    <w:p w:rsidR="00BA1CBE" w:rsidRDefault="00130128" w:rsidP="00283990">
                      <w:pPr>
                        <w:pStyle w:val="Headingnonum"/>
                      </w:pPr>
                      <w:r>
                        <w:t>23</w:t>
                      </w:r>
                      <w:r>
                        <w:rPr>
                          <w:vertAlign w:val="superscript"/>
                        </w:rPr>
                        <w:t xml:space="preserve">rd </w:t>
                      </w:r>
                      <w:r>
                        <w:t>June 2017</w:t>
                      </w:r>
                    </w:p>
                  </w:txbxContent>
                </v:textbox>
                <w10:wrap anchorx="page" anchory="margin"/>
              </v:shape>
            </w:pict>
          </mc:Fallback>
        </mc:AlternateContent>
      </w:r>
      <w:r w:rsidR="00F5396C">
        <w:t>C</w:t>
      </w:r>
      <w:r w:rsidR="001250BD">
        <w:t>ontract progress update</w:t>
      </w:r>
    </w:p>
    <w:p w:rsidR="00DC64DF" w:rsidRPr="004F5F7F" w:rsidRDefault="00DC64DF" w:rsidP="00DC64DF">
      <w:pPr>
        <w:pStyle w:val="Bodytextnumbered"/>
        <w:numPr>
          <w:ilvl w:val="0"/>
          <w:numId w:val="0"/>
        </w:numPr>
        <w:ind w:left="1077"/>
        <w:jc w:val="both"/>
        <w:rPr>
          <w:i/>
          <w:u w:val="single"/>
        </w:rPr>
      </w:pPr>
      <w:r w:rsidRPr="004F5F7F">
        <w:rPr>
          <w:i/>
          <w:u w:val="single"/>
        </w:rPr>
        <w:t>Wilton EfW</w:t>
      </w:r>
    </w:p>
    <w:p w:rsidR="00343AE1" w:rsidRDefault="00BA1DDA" w:rsidP="00F778DF">
      <w:pPr>
        <w:pStyle w:val="Bodytextnumbered"/>
        <w:jc w:val="both"/>
      </w:pPr>
      <w:r>
        <w:t>As previously reported, the Wilton Energy from Waste (EfW) facility was completed and formally handed over from the construction contractor to MERL on 23</w:t>
      </w:r>
      <w:r w:rsidRPr="00BA1DDA">
        <w:rPr>
          <w:vertAlign w:val="superscript"/>
        </w:rPr>
        <w:t>rd</w:t>
      </w:r>
      <w:r>
        <w:t xml:space="preserve"> December ’16. Suez </w:t>
      </w:r>
      <w:proofErr w:type="gramStart"/>
      <w:r>
        <w:t>have</w:t>
      </w:r>
      <w:proofErr w:type="gramEnd"/>
      <w:r>
        <w:t xml:space="preserve"> since been operating the facility.</w:t>
      </w:r>
    </w:p>
    <w:p w:rsidR="00130128" w:rsidRDefault="00130128" w:rsidP="00DC64DF">
      <w:pPr>
        <w:pStyle w:val="Bodytextnumbered"/>
        <w:numPr>
          <w:ilvl w:val="0"/>
          <w:numId w:val="0"/>
        </w:numPr>
        <w:ind w:left="1077"/>
        <w:jc w:val="both"/>
        <w:rPr>
          <w:i/>
          <w:u w:val="single"/>
        </w:rPr>
      </w:pPr>
    </w:p>
    <w:p w:rsidR="00130128" w:rsidRDefault="00130128" w:rsidP="00DC64DF">
      <w:pPr>
        <w:pStyle w:val="Bodytextnumbered"/>
        <w:numPr>
          <w:ilvl w:val="0"/>
          <w:numId w:val="0"/>
        </w:numPr>
        <w:ind w:left="1077"/>
        <w:jc w:val="both"/>
        <w:rPr>
          <w:i/>
          <w:u w:val="single"/>
        </w:rPr>
      </w:pPr>
    </w:p>
    <w:p w:rsidR="00DC64DF" w:rsidRPr="004F5F7F" w:rsidRDefault="00DC64DF" w:rsidP="00DC64DF">
      <w:pPr>
        <w:pStyle w:val="Bodytextnumbered"/>
        <w:numPr>
          <w:ilvl w:val="0"/>
          <w:numId w:val="0"/>
        </w:numPr>
        <w:ind w:left="1077"/>
        <w:jc w:val="both"/>
        <w:rPr>
          <w:i/>
          <w:u w:val="single"/>
        </w:rPr>
      </w:pPr>
      <w:r w:rsidRPr="004F5F7F">
        <w:rPr>
          <w:i/>
          <w:u w:val="single"/>
        </w:rPr>
        <w:lastRenderedPageBreak/>
        <w:t>Kirkby RTLS</w:t>
      </w:r>
    </w:p>
    <w:p w:rsidR="00903034" w:rsidRDefault="00B27477" w:rsidP="002735D4">
      <w:pPr>
        <w:pStyle w:val="Bodytextnumbered"/>
        <w:jc w:val="both"/>
      </w:pPr>
      <w:r>
        <w:t xml:space="preserve">The ongoing delay to formal completion of the facility arising from an accident that occurred at the site in January was reported in the April Authority Update Report. The repairs to the roof were </w:t>
      </w:r>
      <w:r w:rsidR="00D46E33">
        <w:t xml:space="preserve">finally completed </w:t>
      </w:r>
      <w:r>
        <w:t xml:space="preserve">on </w:t>
      </w:r>
      <w:r w:rsidR="0080295C">
        <w:t>11</w:t>
      </w:r>
      <w:r w:rsidR="0080295C" w:rsidRPr="0080295C">
        <w:rPr>
          <w:vertAlign w:val="superscript"/>
        </w:rPr>
        <w:t>th</w:t>
      </w:r>
      <w:r w:rsidR="0080295C">
        <w:t xml:space="preserve"> May.</w:t>
      </w:r>
      <w:r>
        <w:t xml:space="preserve"> Whilst roof repairs were underway, the facility could not load trains for transfer to the Wilton EfW facility and </w:t>
      </w:r>
      <w:r w:rsidR="002D32E9">
        <w:t xml:space="preserve">waste </w:t>
      </w:r>
      <w:r>
        <w:t xml:space="preserve">inputs to the </w:t>
      </w:r>
      <w:r w:rsidR="004F5F7F">
        <w:t>site were restricted</w:t>
      </w:r>
      <w:r>
        <w:t>.</w:t>
      </w:r>
      <w:r w:rsidR="004F5F7F">
        <w:t xml:space="preserve"> Limited waste inputs have been delivered into the facility during this period, but have been transferred out to Wilton EfW by road haulage.</w:t>
      </w:r>
    </w:p>
    <w:p w:rsidR="008A4501" w:rsidRDefault="00B27477" w:rsidP="00F778DF">
      <w:pPr>
        <w:pStyle w:val="Bodytextnumbered"/>
        <w:jc w:val="both"/>
      </w:pPr>
      <w:r>
        <w:t xml:space="preserve">Since completion of the roof repairs, Suez have recommenced use of the waste compactors, increased waste inputs and </w:t>
      </w:r>
      <w:r w:rsidR="004F5F7F">
        <w:t xml:space="preserve">have </w:t>
      </w:r>
      <w:r>
        <w:t>begun transferring waste to Wilton by rail.</w:t>
      </w:r>
      <w:r w:rsidR="004F5F7F">
        <w:t xml:space="preserve"> Rail transport recommenced on </w:t>
      </w:r>
      <w:r w:rsidR="0080295C">
        <w:t>23</w:t>
      </w:r>
      <w:r w:rsidR="0080295C" w:rsidRPr="0080295C">
        <w:rPr>
          <w:vertAlign w:val="superscript"/>
        </w:rPr>
        <w:t>rd</w:t>
      </w:r>
      <w:r w:rsidR="0080295C">
        <w:t xml:space="preserve"> May.</w:t>
      </w:r>
    </w:p>
    <w:p w:rsidR="007526AB" w:rsidRDefault="00D46E33" w:rsidP="00F778DF">
      <w:pPr>
        <w:pStyle w:val="Bodytextnumbered"/>
        <w:jc w:val="both"/>
      </w:pPr>
      <w:r>
        <w:t xml:space="preserve">Some </w:t>
      </w:r>
      <w:r w:rsidR="004546A3">
        <w:t>outstanding</w:t>
      </w:r>
      <w:r>
        <w:t xml:space="preserve"> issues relating to the operation of the facility compactors are </w:t>
      </w:r>
      <w:r w:rsidR="004546A3">
        <w:t xml:space="preserve">now </w:t>
      </w:r>
      <w:r>
        <w:t>being addressed</w:t>
      </w:r>
      <w:r w:rsidR="007526AB">
        <w:t xml:space="preserve"> to enable them to operate in accordance with contractually defined parameters</w:t>
      </w:r>
      <w:r>
        <w:t xml:space="preserve">. </w:t>
      </w:r>
    </w:p>
    <w:p w:rsidR="00575349" w:rsidRDefault="00575349" w:rsidP="00F778DF">
      <w:pPr>
        <w:pStyle w:val="Bodytextnumbered"/>
        <w:jc w:val="both"/>
      </w:pPr>
      <w:r>
        <w:t>A</w:t>
      </w:r>
      <w:r w:rsidR="00B700D9">
        <w:t>t the time of writing</w:t>
      </w:r>
      <w:r>
        <w:t xml:space="preserve">, the </w:t>
      </w:r>
      <w:r w:rsidR="007526AB">
        <w:t>Contract</w:t>
      </w:r>
      <w:r>
        <w:t xml:space="preserve"> remains formal</w:t>
      </w:r>
      <w:r w:rsidR="007526AB">
        <w:t>ly in</w:t>
      </w:r>
      <w:r>
        <w:t xml:space="preserve"> commissioning although the Contractor is </w:t>
      </w:r>
      <w:r w:rsidR="002D32E9">
        <w:t>working</w:t>
      </w:r>
      <w:r>
        <w:t xml:space="preserve"> to achieve full</w:t>
      </w:r>
      <w:r w:rsidR="004F5F7F">
        <w:t xml:space="preserve"> service </w:t>
      </w:r>
      <w:r w:rsidR="0080295C">
        <w:t xml:space="preserve">(FOD) </w:t>
      </w:r>
      <w:r w:rsidR="004F5F7F">
        <w:t>as soon as possible.</w:t>
      </w:r>
    </w:p>
    <w:p w:rsidR="00DC64DF" w:rsidRPr="00B27477" w:rsidRDefault="00DC64DF" w:rsidP="00DC64DF">
      <w:pPr>
        <w:pStyle w:val="Bodytextnumbered"/>
        <w:numPr>
          <w:ilvl w:val="0"/>
          <w:numId w:val="0"/>
        </w:numPr>
        <w:ind w:left="1077"/>
        <w:jc w:val="both"/>
        <w:rPr>
          <w:i/>
        </w:rPr>
      </w:pPr>
      <w:r w:rsidRPr="00B27477">
        <w:rPr>
          <w:i/>
        </w:rPr>
        <w:t>Interim waste disposals</w:t>
      </w:r>
    </w:p>
    <w:p w:rsidR="00DC64DF" w:rsidRDefault="00080B51" w:rsidP="00DC64DF">
      <w:pPr>
        <w:pStyle w:val="Bodytextnumbered"/>
        <w:jc w:val="both"/>
      </w:pPr>
      <w:r>
        <w:t>U</w:t>
      </w:r>
      <w:r w:rsidR="00343AE1">
        <w:t>nt</w:t>
      </w:r>
      <w:r w:rsidR="004F5F7F">
        <w:t>il full service (FOD) commences</w:t>
      </w:r>
      <w:r w:rsidR="00343AE1">
        <w:t xml:space="preserve"> </w:t>
      </w:r>
      <w:r w:rsidR="004F5F7F">
        <w:t>(</w:t>
      </w:r>
      <w:r w:rsidR="00F161B3">
        <w:t>and notwithstanding MERL’s exclusive right to any waste they call for during commissioning</w:t>
      </w:r>
      <w:r w:rsidR="004F5F7F">
        <w:t>)</w:t>
      </w:r>
      <w:r w:rsidR="00F161B3">
        <w:t xml:space="preserve"> </w:t>
      </w:r>
      <w:r w:rsidR="00343AE1">
        <w:t>the liability for ensuring suitable and sufficient outlets for residual waste remains with MRWA</w:t>
      </w:r>
      <w:r w:rsidR="00162DA3">
        <w:t>.</w:t>
      </w:r>
      <w:r w:rsidR="00DC64DF">
        <w:t xml:space="preserve"> </w:t>
      </w:r>
    </w:p>
    <w:p w:rsidR="00A84684" w:rsidRPr="008A6993" w:rsidRDefault="003F0C18" w:rsidP="00575349">
      <w:pPr>
        <w:pStyle w:val="Bodytextnumbered"/>
        <w:jc w:val="both"/>
      </w:pPr>
      <w:r>
        <w:t xml:space="preserve">As previously reported to the Authority, MRWA </w:t>
      </w:r>
      <w:r w:rsidR="00575349">
        <w:t>extended its interim waste disposal arrangements with Suez until the end of June 2017. These arrangements remain in place</w:t>
      </w:r>
      <w:r>
        <w:t xml:space="preserve"> </w:t>
      </w:r>
      <w:r w:rsidR="00575349">
        <w:t>and any waste not requested by Suez for commissioning will be disposed of via the interim (mainly landfill) disposal facilities.</w:t>
      </w:r>
      <w:r w:rsidR="00F161B3">
        <w:t xml:space="preserve"> </w:t>
      </w:r>
      <w:r w:rsidR="004F5F7F">
        <w:t>With the increased inputs to the RTLS and return to transport of waste to Wilton EFW by rail, the need for interim disposal outlets has reduced.</w:t>
      </w:r>
    </w:p>
    <w:p w:rsidR="001250BD" w:rsidRDefault="001250BD" w:rsidP="00E346F9">
      <w:pPr>
        <w:pStyle w:val="Heading1"/>
      </w:pPr>
      <w:r>
        <w:t>Kirkby RTLS – odour management</w:t>
      </w:r>
    </w:p>
    <w:p w:rsidR="002A4BC9" w:rsidRDefault="009F5574" w:rsidP="009F5574">
      <w:pPr>
        <w:pStyle w:val="Bodytextnumbered"/>
        <w:jc w:val="both"/>
      </w:pPr>
      <w:r>
        <w:t xml:space="preserve">The issue of odour management at the Kirkby facility was </w:t>
      </w:r>
      <w:r w:rsidR="00381433">
        <w:t xml:space="preserve">previously </w:t>
      </w:r>
      <w:r>
        <w:t xml:space="preserve">reported to the Authority </w:t>
      </w:r>
      <w:r w:rsidR="00381433">
        <w:t xml:space="preserve">in the </w:t>
      </w:r>
      <w:r>
        <w:t>November</w:t>
      </w:r>
      <w:r w:rsidR="00381433">
        <w:t xml:space="preserve"> 2016</w:t>
      </w:r>
      <w:r w:rsidR="00575349">
        <w:t>,</w:t>
      </w:r>
      <w:r w:rsidR="00381433">
        <w:t xml:space="preserve"> February 2017 </w:t>
      </w:r>
      <w:r w:rsidR="00575349">
        <w:t xml:space="preserve">and April 2017 </w:t>
      </w:r>
      <w:r w:rsidR="00381433">
        <w:t>reports</w:t>
      </w:r>
      <w:r>
        <w:t xml:space="preserve">. </w:t>
      </w:r>
    </w:p>
    <w:p w:rsidR="00E459A6" w:rsidRDefault="00E459A6" w:rsidP="009F5574">
      <w:pPr>
        <w:pStyle w:val="Bodytextnumbered"/>
        <w:jc w:val="both"/>
      </w:pPr>
      <w:r>
        <w:lastRenderedPageBreak/>
        <w:t>Suez commissioned independent odour specialists ‘</w:t>
      </w:r>
      <w:proofErr w:type="spellStart"/>
      <w:r>
        <w:t>Odournet</w:t>
      </w:r>
      <w:proofErr w:type="spellEnd"/>
      <w:r>
        <w:t>’ to undertake a review of the Kirkby facility</w:t>
      </w:r>
      <w:r w:rsidR="004F5F7F">
        <w:t>,</w:t>
      </w:r>
      <w:r>
        <w:t xml:space="preserve"> its operations </w:t>
      </w:r>
      <w:r w:rsidR="004F5F7F">
        <w:t xml:space="preserve">and management arrangements </w:t>
      </w:r>
      <w:r>
        <w:t xml:space="preserve">with a view to recommending measures to improve odour management at the site. </w:t>
      </w:r>
      <w:r w:rsidR="004C74E0">
        <w:t xml:space="preserve">Suez received </w:t>
      </w:r>
      <w:r>
        <w:t xml:space="preserve">the final </w:t>
      </w:r>
      <w:proofErr w:type="spellStart"/>
      <w:r>
        <w:t>Odournet</w:t>
      </w:r>
      <w:proofErr w:type="spellEnd"/>
      <w:r>
        <w:t xml:space="preserve"> report</w:t>
      </w:r>
      <w:r w:rsidR="004F5F7F">
        <w:t xml:space="preserve"> </w:t>
      </w:r>
      <w:r w:rsidR="0080295C">
        <w:t xml:space="preserve">in mid-May </w:t>
      </w:r>
      <w:r w:rsidR="004F5F7F">
        <w:t xml:space="preserve">and </w:t>
      </w:r>
      <w:proofErr w:type="gramStart"/>
      <w:r w:rsidR="004F5F7F">
        <w:t>are</w:t>
      </w:r>
      <w:proofErr w:type="gramEnd"/>
      <w:r w:rsidR="004F5F7F">
        <w:t xml:space="preserve"> implementing its initial recommendations</w:t>
      </w:r>
      <w:r>
        <w:t>.</w:t>
      </w:r>
    </w:p>
    <w:p w:rsidR="00A818B4" w:rsidRDefault="0080295C" w:rsidP="0080295C">
      <w:pPr>
        <w:pStyle w:val="Bodytextnumbered"/>
        <w:jc w:val="both"/>
      </w:pPr>
      <w:r>
        <w:t>A meeting was held on site on 12</w:t>
      </w:r>
      <w:r w:rsidRPr="0080295C">
        <w:rPr>
          <w:vertAlign w:val="superscript"/>
        </w:rPr>
        <w:t>th</w:t>
      </w:r>
      <w:r>
        <w:t xml:space="preserve"> May attended by MERL and Suez senior management team (including the Chief Executive of Suez and Chairman of MERL) and local political representatives including the Leader of Knowsley MBC and senior officers from </w:t>
      </w:r>
      <w:r w:rsidR="00D46E33">
        <w:t>the Council</w:t>
      </w:r>
      <w:r>
        <w:t>.</w:t>
      </w:r>
      <w:r w:rsidR="00D46E33">
        <w:t xml:space="preserve"> The purpose of the meeting was for Suez to provide key local stakeholders</w:t>
      </w:r>
      <w:r w:rsidR="004546A3">
        <w:t xml:space="preserve"> with</w:t>
      </w:r>
      <w:r w:rsidR="00D46E33">
        <w:t xml:space="preserve"> a</w:t>
      </w:r>
      <w:r w:rsidR="004546A3">
        <w:t xml:space="preserve"> formal</w:t>
      </w:r>
      <w:r w:rsidR="00D46E33">
        <w:t xml:space="preserve"> update on actions being undertaken to address odour issues at the facility, and to allow the local stakeholders an opportunity to directly address concerns to the operators.</w:t>
      </w:r>
    </w:p>
    <w:p w:rsidR="009871EC" w:rsidRDefault="009E0F47" w:rsidP="009E0F47">
      <w:pPr>
        <w:pStyle w:val="Bodytextnumbered"/>
        <w:jc w:val="both"/>
      </w:pPr>
      <w:r>
        <w:t>The Authority remains focussed on odour management as a key issue of concern, and continues to work with the key stake</w:t>
      </w:r>
      <w:r w:rsidR="001B4EA9">
        <w:t>holders (including the EA and Kn</w:t>
      </w:r>
      <w:r>
        <w:t>owsley MBC) to ensure matters are appropriately addressed in an effective and co-ordinated manner.</w:t>
      </w:r>
    </w:p>
    <w:p w:rsidR="004701E7" w:rsidRDefault="004701E7" w:rsidP="00E346F9">
      <w:pPr>
        <w:pStyle w:val="Heading1"/>
      </w:pPr>
      <w:r>
        <w:t xml:space="preserve">Risk </w:t>
      </w:r>
      <w:r w:rsidR="0036067F">
        <w:t>Implications</w:t>
      </w:r>
    </w:p>
    <w:p w:rsidR="008D7199" w:rsidRDefault="00BF4C40" w:rsidP="00092FC5">
      <w:pPr>
        <w:pStyle w:val="Bodytextnumbered"/>
        <w:jc w:val="both"/>
      </w:pPr>
      <w:r>
        <w:t>T</w:t>
      </w:r>
      <w:r w:rsidR="000F49BE">
        <w:t>he key risks to the Authority arising from the matter</w:t>
      </w:r>
      <w:r w:rsidR="00524990">
        <w:t>s</w:t>
      </w:r>
      <w:r w:rsidR="000F49BE">
        <w:t xml:space="preserve"> highlighted in this report are as follows:</w:t>
      </w:r>
    </w:p>
    <w:p w:rsidR="000F49BE" w:rsidRDefault="000F49BE" w:rsidP="00092FC5">
      <w:pPr>
        <w:pStyle w:val="Bodytextnumbered"/>
        <w:jc w:val="both"/>
      </w:pPr>
      <w:r>
        <w:t xml:space="preserve">There is a risk that the </w:t>
      </w:r>
      <w:r w:rsidR="00D14FA9">
        <w:t xml:space="preserve">ongoing </w:t>
      </w:r>
      <w:r>
        <w:t xml:space="preserve">delay </w:t>
      </w:r>
      <w:r w:rsidR="009E0F47">
        <w:t>in</w:t>
      </w:r>
      <w:r>
        <w:t xml:space="preserve"> progression to full operations </w:t>
      </w:r>
      <w:r w:rsidR="009E0F47">
        <w:t xml:space="preserve">will </w:t>
      </w:r>
      <w:r>
        <w:t xml:space="preserve">result in an extended liability on </w:t>
      </w:r>
      <w:r w:rsidR="00D7100B">
        <w:t xml:space="preserve">the Authority </w:t>
      </w:r>
      <w:r>
        <w:t>to have an alternative disposal outlet for waste</w:t>
      </w:r>
      <w:r w:rsidR="000B0B9B">
        <w:t xml:space="preserve"> that</w:t>
      </w:r>
      <w:r>
        <w:t xml:space="preserve"> MERL </w:t>
      </w:r>
      <w:r w:rsidR="000B0B9B">
        <w:t>does not request during ongoing</w:t>
      </w:r>
      <w:r>
        <w:t xml:space="preserve"> commissioning.</w:t>
      </w:r>
    </w:p>
    <w:p w:rsidR="009420DB" w:rsidRDefault="009420DB" w:rsidP="00092FC5">
      <w:pPr>
        <w:pStyle w:val="Bodytextnumbered"/>
        <w:jc w:val="both"/>
      </w:pPr>
      <w:r>
        <w:t>There is a potential risk of challenge to the</w:t>
      </w:r>
      <w:r w:rsidR="00510AEB">
        <w:t xml:space="preserve"> Authority’s </w:t>
      </w:r>
      <w:r w:rsidR="002D32E9">
        <w:t xml:space="preserve">ongoing </w:t>
      </w:r>
      <w:r w:rsidR="00510AEB">
        <w:t>use of a negotiated procedure for the interim</w:t>
      </w:r>
      <w:r>
        <w:t xml:space="preserve"> disposal agreement with Suez.</w:t>
      </w:r>
      <w:r w:rsidR="00960DDF">
        <w:t xml:space="preserve"> </w:t>
      </w:r>
      <w:r w:rsidR="00565702">
        <w:t>G</w:t>
      </w:r>
      <w:r w:rsidR="00510AEB">
        <w:t xml:space="preserve">iven the mitigating circumstances, the risk is </w:t>
      </w:r>
      <w:r w:rsidR="00565702">
        <w:t xml:space="preserve">currently </w:t>
      </w:r>
      <w:r w:rsidR="00510AEB">
        <w:t>believed to be low.</w:t>
      </w:r>
    </w:p>
    <w:p w:rsidR="002B6490" w:rsidRDefault="000F49BE" w:rsidP="00092FC5">
      <w:pPr>
        <w:pStyle w:val="Bodytextnumbered"/>
        <w:jc w:val="both"/>
      </w:pPr>
      <w:r>
        <w:t xml:space="preserve">There is a risk that </w:t>
      </w:r>
      <w:r w:rsidR="00510AEB">
        <w:t xml:space="preserve">Suez </w:t>
      </w:r>
      <w:proofErr w:type="gramStart"/>
      <w:r w:rsidR="00510AEB">
        <w:t>do</w:t>
      </w:r>
      <w:proofErr w:type="gramEnd"/>
      <w:r w:rsidR="00510AEB">
        <w:t xml:space="preserve"> not fundamentally resolve their odour management issues in reasonable timescales</w:t>
      </w:r>
      <w:r w:rsidR="00092FC5">
        <w:t xml:space="preserve"> </w:t>
      </w:r>
      <w:r w:rsidR="00524990">
        <w:t>because of the</w:t>
      </w:r>
      <w:r w:rsidR="00092FC5">
        <w:t xml:space="preserve"> challenges in identifying th</w:t>
      </w:r>
      <w:r w:rsidR="009E0F47">
        <w:t xml:space="preserve">e underlying causes and </w:t>
      </w:r>
      <w:r w:rsidR="002D32E9">
        <w:t xml:space="preserve">implementing </w:t>
      </w:r>
      <w:r w:rsidR="009E0F47">
        <w:t>practicably deliverable sol</w:t>
      </w:r>
      <w:r w:rsidR="00092FC5">
        <w:t>utions</w:t>
      </w:r>
      <w:r w:rsidR="00510AEB">
        <w:t xml:space="preserve"> resulting in ongoing complaints and stakeholder concern</w:t>
      </w:r>
      <w:r w:rsidR="002B6490">
        <w:t>.</w:t>
      </w:r>
    </w:p>
    <w:p w:rsidR="00506FE0" w:rsidRDefault="002B6490" w:rsidP="000B0B9B">
      <w:pPr>
        <w:pStyle w:val="Bodytextnumbered"/>
        <w:jc w:val="both"/>
      </w:pPr>
      <w:r>
        <w:t xml:space="preserve">Should the Environment Agency </w:t>
      </w:r>
      <w:r w:rsidR="00E848B2">
        <w:t xml:space="preserve">assess that </w:t>
      </w:r>
      <w:r w:rsidR="00580EF8">
        <w:t>appropriate</w:t>
      </w:r>
      <w:r w:rsidR="00E848B2">
        <w:t xml:space="preserve"> measures </w:t>
      </w:r>
      <w:r w:rsidR="001B4EA9">
        <w:t xml:space="preserve">are </w:t>
      </w:r>
      <w:r w:rsidR="00E848B2">
        <w:t>not be</w:t>
      </w:r>
      <w:r w:rsidR="002D32E9">
        <w:t>ing</w:t>
      </w:r>
      <w:r w:rsidR="00E848B2">
        <w:t xml:space="preserve"> taken </w:t>
      </w:r>
      <w:r w:rsidR="001B4EA9">
        <w:t xml:space="preserve">by Suez </w:t>
      </w:r>
      <w:r w:rsidR="00E848B2">
        <w:t>to address odour emissions, t</w:t>
      </w:r>
      <w:r>
        <w:t xml:space="preserve">here is a risk of </w:t>
      </w:r>
      <w:r w:rsidR="001B4EA9">
        <w:t>further</w:t>
      </w:r>
      <w:r w:rsidR="00092FC5">
        <w:t xml:space="preserve"> enforcement action </w:t>
      </w:r>
      <w:r>
        <w:t xml:space="preserve">against Suez </w:t>
      </w:r>
      <w:r w:rsidR="00092FC5">
        <w:t>by the EA</w:t>
      </w:r>
      <w:r w:rsidR="001B4EA9">
        <w:t xml:space="preserve"> (which could include </w:t>
      </w:r>
      <w:r w:rsidR="001B4EA9">
        <w:lastRenderedPageBreak/>
        <w:t>suspension of their Permit)</w:t>
      </w:r>
      <w:r w:rsidR="00092FC5">
        <w:t xml:space="preserve"> and </w:t>
      </w:r>
      <w:r>
        <w:t xml:space="preserve">subsequent </w:t>
      </w:r>
      <w:r w:rsidR="00092FC5">
        <w:t>reputational damage</w:t>
      </w:r>
      <w:r>
        <w:t>,</w:t>
      </w:r>
      <w:r w:rsidR="00092FC5">
        <w:t xml:space="preserve"> </w:t>
      </w:r>
      <w:r>
        <w:t xml:space="preserve">not just to Suez, but also </w:t>
      </w:r>
      <w:r w:rsidR="00092FC5">
        <w:t>to the Authority.</w:t>
      </w:r>
      <w:r w:rsidR="00506FE0">
        <w:t xml:space="preserve"> </w:t>
      </w:r>
    </w:p>
    <w:p w:rsidR="00092FC5" w:rsidRDefault="00092FC5" w:rsidP="00092FC5">
      <w:pPr>
        <w:pStyle w:val="Bodytextnumbered"/>
        <w:jc w:val="both"/>
      </w:pPr>
      <w:r>
        <w:t>A summary of the risks and mitigating actions is provided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416"/>
        <w:gridCol w:w="1790"/>
        <w:gridCol w:w="900"/>
        <w:gridCol w:w="2294"/>
      </w:tblGrid>
      <w:tr w:rsidR="00BF4C40" w:rsidRPr="00BF4C40" w:rsidTr="00904536">
        <w:tc>
          <w:tcPr>
            <w:tcW w:w="2041" w:type="dxa"/>
            <w:shd w:val="clear" w:color="auto" w:fill="auto"/>
          </w:tcPr>
          <w:p w:rsidR="00BF4C40" w:rsidRPr="00BF4C40" w:rsidRDefault="00BF4C40" w:rsidP="00FF375E">
            <w:pPr>
              <w:rPr>
                <w:rFonts w:cs="Arial"/>
                <w:b/>
                <w:bCs/>
                <w:szCs w:val="24"/>
              </w:rPr>
            </w:pPr>
            <w:r w:rsidRPr="00BF4C40">
              <w:rPr>
                <w:rFonts w:cs="Arial"/>
                <w:b/>
                <w:bCs/>
                <w:szCs w:val="24"/>
              </w:rPr>
              <w:t>Identified Risk</w:t>
            </w:r>
          </w:p>
        </w:tc>
        <w:tc>
          <w:tcPr>
            <w:tcW w:w="1416" w:type="dxa"/>
            <w:shd w:val="clear" w:color="auto" w:fill="auto"/>
          </w:tcPr>
          <w:p w:rsidR="00BF4C40" w:rsidRPr="00BF4C40" w:rsidRDefault="00BF4C40" w:rsidP="00FF375E">
            <w:pPr>
              <w:rPr>
                <w:rFonts w:cs="Arial"/>
                <w:b/>
                <w:bCs/>
                <w:szCs w:val="24"/>
              </w:rPr>
            </w:pPr>
            <w:r w:rsidRPr="00BF4C40">
              <w:rPr>
                <w:rFonts w:cs="Arial"/>
                <w:b/>
                <w:bCs/>
                <w:szCs w:val="24"/>
              </w:rPr>
              <w:t>Likelihood Rating</w:t>
            </w:r>
          </w:p>
        </w:tc>
        <w:tc>
          <w:tcPr>
            <w:tcW w:w="1790" w:type="dxa"/>
            <w:shd w:val="clear" w:color="auto" w:fill="auto"/>
          </w:tcPr>
          <w:p w:rsidR="00BF4C40" w:rsidRPr="00BF4C40" w:rsidRDefault="00BF4C40" w:rsidP="00FF375E">
            <w:pPr>
              <w:rPr>
                <w:rFonts w:cs="Arial"/>
                <w:b/>
                <w:bCs/>
                <w:szCs w:val="24"/>
              </w:rPr>
            </w:pPr>
            <w:r w:rsidRPr="00BF4C40">
              <w:rPr>
                <w:rFonts w:cs="Arial"/>
                <w:b/>
                <w:bCs/>
                <w:szCs w:val="24"/>
              </w:rPr>
              <w:t>Consequence Rating</w:t>
            </w:r>
          </w:p>
        </w:tc>
        <w:tc>
          <w:tcPr>
            <w:tcW w:w="900" w:type="dxa"/>
            <w:shd w:val="clear" w:color="auto" w:fill="auto"/>
          </w:tcPr>
          <w:p w:rsidR="00BF4C40" w:rsidRPr="00BF4C40" w:rsidRDefault="00BF4C40" w:rsidP="00FF375E">
            <w:pPr>
              <w:rPr>
                <w:rFonts w:cs="Arial"/>
                <w:b/>
                <w:bCs/>
                <w:szCs w:val="24"/>
              </w:rPr>
            </w:pPr>
            <w:r w:rsidRPr="00BF4C40">
              <w:rPr>
                <w:rFonts w:cs="Arial"/>
                <w:b/>
                <w:bCs/>
                <w:szCs w:val="24"/>
              </w:rPr>
              <w:t>Risk Value</w:t>
            </w:r>
          </w:p>
        </w:tc>
        <w:tc>
          <w:tcPr>
            <w:tcW w:w="2294" w:type="dxa"/>
            <w:shd w:val="clear" w:color="auto" w:fill="auto"/>
          </w:tcPr>
          <w:p w:rsidR="00BF4C40" w:rsidRPr="00BF4C40" w:rsidRDefault="00BF4C40" w:rsidP="00FF375E">
            <w:pPr>
              <w:rPr>
                <w:rFonts w:cs="Arial"/>
                <w:b/>
                <w:bCs/>
                <w:szCs w:val="24"/>
              </w:rPr>
            </w:pPr>
            <w:r w:rsidRPr="00BF4C40">
              <w:rPr>
                <w:rFonts w:cs="Arial"/>
                <w:b/>
                <w:bCs/>
                <w:szCs w:val="24"/>
              </w:rPr>
              <w:t>Mitigation</w:t>
            </w:r>
          </w:p>
        </w:tc>
      </w:tr>
      <w:tr w:rsidR="00BF4C40" w:rsidTr="004C74E0">
        <w:tc>
          <w:tcPr>
            <w:tcW w:w="2041" w:type="dxa"/>
          </w:tcPr>
          <w:p w:rsidR="004C74E0" w:rsidRDefault="004C74E0" w:rsidP="00FF375E">
            <w:pPr>
              <w:rPr>
                <w:rFonts w:cs="Arial"/>
                <w:sz w:val="16"/>
                <w:szCs w:val="16"/>
              </w:rPr>
            </w:pPr>
          </w:p>
          <w:p w:rsidR="00BF4C40" w:rsidRDefault="000F49BE" w:rsidP="00FF375E">
            <w:pPr>
              <w:rPr>
                <w:rFonts w:cs="Arial"/>
                <w:sz w:val="16"/>
                <w:szCs w:val="16"/>
              </w:rPr>
            </w:pPr>
            <w:r>
              <w:rPr>
                <w:rFonts w:cs="Arial"/>
                <w:sz w:val="16"/>
                <w:szCs w:val="16"/>
              </w:rPr>
              <w:t>Extended co</w:t>
            </w:r>
            <w:r w:rsidR="00092FC5">
              <w:rPr>
                <w:rFonts w:cs="Arial"/>
                <w:sz w:val="16"/>
                <w:szCs w:val="16"/>
              </w:rPr>
              <w:t xml:space="preserve">mmissioning </w:t>
            </w:r>
            <w:r w:rsidR="00D14FA9">
              <w:rPr>
                <w:rFonts w:cs="Arial"/>
                <w:sz w:val="16"/>
                <w:szCs w:val="16"/>
              </w:rPr>
              <w:t>and</w:t>
            </w:r>
            <w:r w:rsidR="00092FC5">
              <w:rPr>
                <w:rFonts w:cs="Arial"/>
                <w:sz w:val="16"/>
                <w:szCs w:val="16"/>
              </w:rPr>
              <w:t xml:space="preserve"> further delay to delivery of </w:t>
            </w:r>
            <w:r w:rsidR="004C74E0">
              <w:rPr>
                <w:rFonts w:cs="Arial"/>
                <w:sz w:val="16"/>
                <w:szCs w:val="16"/>
              </w:rPr>
              <w:t>the Kirkby RTLS</w:t>
            </w:r>
            <w:r w:rsidR="00092FC5">
              <w:rPr>
                <w:rFonts w:cs="Arial"/>
                <w:sz w:val="16"/>
                <w:szCs w:val="16"/>
              </w:rPr>
              <w:t xml:space="preserve"> and progression to ‘full operations’</w:t>
            </w:r>
            <w:r w:rsidR="00A818B4">
              <w:rPr>
                <w:rFonts w:cs="Arial"/>
                <w:sz w:val="16"/>
                <w:szCs w:val="16"/>
              </w:rPr>
              <w:t xml:space="preserve"> with </w:t>
            </w:r>
            <w:r w:rsidR="000B0B9B">
              <w:rPr>
                <w:rFonts w:cs="Arial"/>
                <w:sz w:val="16"/>
                <w:szCs w:val="16"/>
              </w:rPr>
              <w:t xml:space="preserve">the </w:t>
            </w:r>
            <w:r w:rsidR="00043177">
              <w:rPr>
                <w:rFonts w:cs="Arial"/>
                <w:sz w:val="16"/>
                <w:szCs w:val="16"/>
              </w:rPr>
              <w:t xml:space="preserve">need to </w:t>
            </w:r>
            <w:r w:rsidR="000B0B9B">
              <w:rPr>
                <w:rFonts w:cs="Arial"/>
                <w:sz w:val="16"/>
                <w:szCs w:val="16"/>
              </w:rPr>
              <w:t>continue</w:t>
            </w:r>
            <w:r w:rsidR="00043177">
              <w:rPr>
                <w:rFonts w:cs="Arial"/>
                <w:sz w:val="16"/>
                <w:szCs w:val="16"/>
              </w:rPr>
              <w:t xml:space="preserve"> </w:t>
            </w:r>
            <w:r w:rsidR="000B0B9B">
              <w:rPr>
                <w:rFonts w:cs="Arial"/>
                <w:sz w:val="16"/>
                <w:szCs w:val="16"/>
              </w:rPr>
              <w:t>with</w:t>
            </w:r>
            <w:r w:rsidR="00043177">
              <w:rPr>
                <w:rFonts w:cs="Arial"/>
                <w:sz w:val="16"/>
                <w:szCs w:val="16"/>
              </w:rPr>
              <w:t xml:space="preserve"> interim disposal arrangements</w:t>
            </w:r>
            <w:r w:rsidR="00D14FA9">
              <w:rPr>
                <w:rFonts w:cs="Arial"/>
                <w:sz w:val="16"/>
                <w:szCs w:val="16"/>
              </w:rPr>
              <w:t>, leading to risk of legal challenge</w:t>
            </w:r>
            <w:r w:rsidR="00565702">
              <w:rPr>
                <w:rFonts w:cs="Arial"/>
                <w:sz w:val="16"/>
                <w:szCs w:val="16"/>
              </w:rPr>
              <w:t>.</w:t>
            </w:r>
          </w:p>
          <w:p w:rsidR="00092FC5" w:rsidRPr="000F49BE" w:rsidRDefault="00092FC5" w:rsidP="00FF375E">
            <w:pPr>
              <w:rPr>
                <w:rFonts w:cs="Arial"/>
                <w:sz w:val="16"/>
                <w:szCs w:val="16"/>
              </w:rPr>
            </w:pPr>
          </w:p>
        </w:tc>
        <w:tc>
          <w:tcPr>
            <w:tcW w:w="1416" w:type="dxa"/>
            <w:vAlign w:val="center"/>
          </w:tcPr>
          <w:p w:rsidR="004C74E0" w:rsidRDefault="004C74E0" w:rsidP="00092FC5">
            <w:pPr>
              <w:jc w:val="center"/>
              <w:rPr>
                <w:rFonts w:cs="Arial"/>
                <w:sz w:val="16"/>
                <w:szCs w:val="16"/>
              </w:rPr>
            </w:pPr>
          </w:p>
          <w:p w:rsidR="00BF4C40" w:rsidRPr="000F49BE" w:rsidRDefault="00A818B4" w:rsidP="00092FC5">
            <w:pPr>
              <w:jc w:val="center"/>
              <w:rPr>
                <w:rFonts w:cs="Arial"/>
                <w:sz w:val="16"/>
                <w:szCs w:val="16"/>
              </w:rPr>
            </w:pPr>
            <w:r>
              <w:rPr>
                <w:rFonts w:cs="Arial"/>
                <w:sz w:val="16"/>
                <w:szCs w:val="16"/>
              </w:rPr>
              <w:t>3</w:t>
            </w:r>
          </w:p>
        </w:tc>
        <w:tc>
          <w:tcPr>
            <w:tcW w:w="1790" w:type="dxa"/>
            <w:vAlign w:val="center"/>
          </w:tcPr>
          <w:p w:rsidR="004C74E0" w:rsidRDefault="004C74E0" w:rsidP="00092FC5">
            <w:pPr>
              <w:jc w:val="center"/>
              <w:rPr>
                <w:rFonts w:cs="Arial"/>
                <w:sz w:val="16"/>
                <w:szCs w:val="16"/>
              </w:rPr>
            </w:pPr>
          </w:p>
          <w:p w:rsidR="00BF4C40" w:rsidRPr="000F49BE" w:rsidRDefault="00092FC5" w:rsidP="00092FC5">
            <w:pPr>
              <w:jc w:val="center"/>
              <w:rPr>
                <w:rFonts w:cs="Arial"/>
                <w:sz w:val="16"/>
                <w:szCs w:val="16"/>
              </w:rPr>
            </w:pPr>
            <w:r>
              <w:rPr>
                <w:rFonts w:cs="Arial"/>
                <w:sz w:val="16"/>
                <w:szCs w:val="16"/>
              </w:rPr>
              <w:t>3</w:t>
            </w:r>
          </w:p>
        </w:tc>
        <w:tc>
          <w:tcPr>
            <w:tcW w:w="900" w:type="dxa"/>
            <w:vAlign w:val="center"/>
          </w:tcPr>
          <w:p w:rsidR="004C74E0" w:rsidRDefault="004C74E0" w:rsidP="004C74E0">
            <w:pPr>
              <w:jc w:val="center"/>
              <w:rPr>
                <w:rFonts w:cs="Arial"/>
                <w:sz w:val="16"/>
                <w:szCs w:val="16"/>
              </w:rPr>
            </w:pPr>
          </w:p>
          <w:p w:rsidR="00BF4C40" w:rsidRPr="000F49BE" w:rsidRDefault="00A818B4" w:rsidP="004C74E0">
            <w:pPr>
              <w:jc w:val="center"/>
              <w:rPr>
                <w:rFonts w:cs="Arial"/>
                <w:sz w:val="16"/>
                <w:szCs w:val="16"/>
              </w:rPr>
            </w:pPr>
            <w:r>
              <w:rPr>
                <w:rFonts w:cs="Arial"/>
                <w:sz w:val="16"/>
                <w:szCs w:val="16"/>
              </w:rPr>
              <w:t>9</w:t>
            </w:r>
          </w:p>
        </w:tc>
        <w:tc>
          <w:tcPr>
            <w:tcW w:w="2294" w:type="dxa"/>
          </w:tcPr>
          <w:p w:rsidR="004C74E0" w:rsidRDefault="004C74E0" w:rsidP="00FF375E">
            <w:pPr>
              <w:rPr>
                <w:rFonts w:cs="Arial"/>
                <w:sz w:val="16"/>
                <w:szCs w:val="16"/>
              </w:rPr>
            </w:pPr>
          </w:p>
          <w:p w:rsidR="000B0B9B" w:rsidRDefault="000F49BE" w:rsidP="00FF375E">
            <w:pPr>
              <w:rPr>
                <w:rFonts w:cs="Arial"/>
                <w:sz w:val="16"/>
                <w:szCs w:val="16"/>
              </w:rPr>
            </w:pPr>
            <w:r>
              <w:rPr>
                <w:rFonts w:cs="Arial"/>
                <w:sz w:val="16"/>
                <w:szCs w:val="16"/>
              </w:rPr>
              <w:t xml:space="preserve">1. </w:t>
            </w:r>
            <w:r w:rsidR="000B0B9B">
              <w:rPr>
                <w:rFonts w:cs="Arial"/>
                <w:sz w:val="16"/>
                <w:szCs w:val="16"/>
              </w:rPr>
              <w:t xml:space="preserve">Contingency agreement for alternative disposal arrangements </w:t>
            </w:r>
            <w:r w:rsidR="004C74E0">
              <w:rPr>
                <w:rFonts w:cs="Arial"/>
                <w:sz w:val="16"/>
                <w:szCs w:val="16"/>
              </w:rPr>
              <w:t>negotiated</w:t>
            </w:r>
            <w:r w:rsidR="000B0B9B">
              <w:rPr>
                <w:rFonts w:cs="Arial"/>
                <w:sz w:val="16"/>
                <w:szCs w:val="16"/>
              </w:rPr>
              <w:t xml:space="preserve"> with Suez;</w:t>
            </w:r>
          </w:p>
          <w:p w:rsidR="00BF4C40" w:rsidRDefault="000B0B9B" w:rsidP="00FF375E">
            <w:pPr>
              <w:rPr>
                <w:rFonts w:cs="Arial"/>
                <w:sz w:val="16"/>
                <w:szCs w:val="16"/>
              </w:rPr>
            </w:pPr>
            <w:r>
              <w:rPr>
                <w:rFonts w:cs="Arial"/>
                <w:sz w:val="16"/>
                <w:szCs w:val="16"/>
              </w:rPr>
              <w:t xml:space="preserve">2. </w:t>
            </w:r>
            <w:r w:rsidR="000F49BE">
              <w:rPr>
                <w:rFonts w:cs="Arial"/>
                <w:sz w:val="16"/>
                <w:szCs w:val="16"/>
              </w:rPr>
              <w:t xml:space="preserve">Legal advice </w:t>
            </w:r>
            <w:r>
              <w:rPr>
                <w:rFonts w:cs="Arial"/>
                <w:sz w:val="16"/>
                <w:szCs w:val="16"/>
              </w:rPr>
              <w:t xml:space="preserve">has been </w:t>
            </w:r>
            <w:r w:rsidR="000F49BE">
              <w:rPr>
                <w:rFonts w:cs="Arial"/>
                <w:sz w:val="16"/>
                <w:szCs w:val="16"/>
              </w:rPr>
              <w:t>sought on MWDA’s options</w:t>
            </w:r>
            <w:r w:rsidR="002735D4">
              <w:rPr>
                <w:rFonts w:cs="Arial"/>
                <w:sz w:val="16"/>
                <w:szCs w:val="16"/>
              </w:rPr>
              <w:t xml:space="preserve"> and contingency arrangements;</w:t>
            </w:r>
          </w:p>
          <w:p w:rsidR="000B0B9B" w:rsidRDefault="000B0B9B" w:rsidP="00FF375E">
            <w:pPr>
              <w:rPr>
                <w:rFonts w:cs="Arial"/>
                <w:sz w:val="16"/>
                <w:szCs w:val="16"/>
              </w:rPr>
            </w:pPr>
            <w:r>
              <w:rPr>
                <w:rFonts w:cs="Arial"/>
                <w:sz w:val="16"/>
                <w:szCs w:val="16"/>
              </w:rPr>
              <w:t>3. Situation and arrangements will remain under constant review by MRWA senior management.</w:t>
            </w:r>
          </w:p>
          <w:p w:rsidR="000F49BE" w:rsidRPr="000F49BE" w:rsidRDefault="000F49BE" w:rsidP="000B0B9B">
            <w:pPr>
              <w:rPr>
                <w:rFonts w:cs="Arial"/>
                <w:sz w:val="16"/>
                <w:szCs w:val="16"/>
              </w:rPr>
            </w:pPr>
          </w:p>
        </w:tc>
      </w:tr>
      <w:tr w:rsidR="00D116C7" w:rsidTr="00904536">
        <w:tc>
          <w:tcPr>
            <w:tcW w:w="2041" w:type="dxa"/>
          </w:tcPr>
          <w:p w:rsidR="004C74E0" w:rsidRDefault="004C74E0" w:rsidP="00FF375E">
            <w:pPr>
              <w:rPr>
                <w:rFonts w:cs="Arial"/>
                <w:sz w:val="16"/>
                <w:szCs w:val="16"/>
              </w:rPr>
            </w:pPr>
          </w:p>
          <w:p w:rsidR="00D116C7" w:rsidRDefault="00D116C7" w:rsidP="00FF375E">
            <w:pPr>
              <w:rPr>
                <w:rFonts w:cs="Arial"/>
                <w:sz w:val="16"/>
                <w:szCs w:val="16"/>
              </w:rPr>
            </w:pPr>
            <w:r>
              <w:rPr>
                <w:rFonts w:cs="Arial"/>
                <w:sz w:val="16"/>
                <w:szCs w:val="16"/>
              </w:rPr>
              <w:t xml:space="preserve">Odour issues at Kirkby </w:t>
            </w:r>
            <w:r w:rsidR="00D14FA9">
              <w:rPr>
                <w:rFonts w:cs="Arial"/>
                <w:sz w:val="16"/>
                <w:szCs w:val="16"/>
              </w:rPr>
              <w:t>RTLS unresolved</w:t>
            </w:r>
            <w:r w:rsidR="004C74E0">
              <w:rPr>
                <w:rFonts w:cs="Arial"/>
                <w:sz w:val="16"/>
                <w:szCs w:val="16"/>
              </w:rPr>
              <w:t xml:space="preserve"> by Suez</w:t>
            </w:r>
            <w:r w:rsidR="00D14FA9">
              <w:rPr>
                <w:rFonts w:cs="Arial"/>
                <w:sz w:val="16"/>
                <w:szCs w:val="16"/>
              </w:rPr>
              <w:t xml:space="preserve"> in the short-medium term </w:t>
            </w:r>
            <w:r>
              <w:rPr>
                <w:rFonts w:cs="Arial"/>
                <w:sz w:val="16"/>
                <w:szCs w:val="16"/>
              </w:rPr>
              <w:t xml:space="preserve">resulting in the risk of environmental enforcement action and reputational damage to the Authority. </w:t>
            </w:r>
          </w:p>
          <w:p w:rsidR="00043177" w:rsidRDefault="00043177" w:rsidP="00FF375E">
            <w:pPr>
              <w:rPr>
                <w:rFonts w:cs="Arial"/>
                <w:sz w:val="16"/>
                <w:szCs w:val="16"/>
              </w:rPr>
            </w:pPr>
          </w:p>
        </w:tc>
        <w:tc>
          <w:tcPr>
            <w:tcW w:w="1416" w:type="dxa"/>
            <w:vAlign w:val="center"/>
          </w:tcPr>
          <w:p w:rsidR="00D116C7" w:rsidRDefault="00E32BF8" w:rsidP="00092FC5">
            <w:pPr>
              <w:jc w:val="center"/>
              <w:rPr>
                <w:rFonts w:cs="Arial"/>
                <w:sz w:val="16"/>
                <w:szCs w:val="16"/>
              </w:rPr>
            </w:pPr>
            <w:r>
              <w:rPr>
                <w:rFonts w:cs="Arial"/>
                <w:sz w:val="16"/>
                <w:szCs w:val="16"/>
              </w:rPr>
              <w:t>3</w:t>
            </w:r>
          </w:p>
        </w:tc>
        <w:tc>
          <w:tcPr>
            <w:tcW w:w="1790" w:type="dxa"/>
            <w:vAlign w:val="center"/>
          </w:tcPr>
          <w:p w:rsidR="00D116C7" w:rsidRDefault="009E2C79" w:rsidP="00092FC5">
            <w:pPr>
              <w:jc w:val="center"/>
              <w:rPr>
                <w:rFonts w:cs="Arial"/>
                <w:sz w:val="16"/>
                <w:szCs w:val="16"/>
              </w:rPr>
            </w:pPr>
            <w:r>
              <w:rPr>
                <w:rFonts w:cs="Arial"/>
                <w:sz w:val="16"/>
                <w:szCs w:val="16"/>
              </w:rPr>
              <w:t>3</w:t>
            </w:r>
          </w:p>
        </w:tc>
        <w:tc>
          <w:tcPr>
            <w:tcW w:w="900" w:type="dxa"/>
            <w:vAlign w:val="center"/>
          </w:tcPr>
          <w:p w:rsidR="00D116C7" w:rsidRDefault="00E32BF8" w:rsidP="00092FC5">
            <w:pPr>
              <w:jc w:val="center"/>
              <w:rPr>
                <w:rFonts w:cs="Arial"/>
                <w:sz w:val="16"/>
                <w:szCs w:val="16"/>
              </w:rPr>
            </w:pPr>
            <w:r>
              <w:rPr>
                <w:rFonts w:cs="Arial"/>
                <w:sz w:val="16"/>
                <w:szCs w:val="16"/>
              </w:rPr>
              <w:t>9</w:t>
            </w:r>
          </w:p>
        </w:tc>
        <w:tc>
          <w:tcPr>
            <w:tcW w:w="2294" w:type="dxa"/>
          </w:tcPr>
          <w:p w:rsidR="004C74E0" w:rsidRDefault="004C74E0" w:rsidP="00FF375E">
            <w:pPr>
              <w:rPr>
                <w:rFonts w:cs="Arial"/>
                <w:sz w:val="16"/>
                <w:szCs w:val="16"/>
              </w:rPr>
            </w:pPr>
          </w:p>
          <w:p w:rsidR="00D116C7" w:rsidRDefault="00D116C7" w:rsidP="00FF375E">
            <w:pPr>
              <w:rPr>
                <w:rFonts w:cs="Arial"/>
                <w:sz w:val="16"/>
                <w:szCs w:val="16"/>
              </w:rPr>
            </w:pPr>
            <w:r>
              <w:rPr>
                <w:rFonts w:cs="Arial"/>
                <w:sz w:val="16"/>
                <w:szCs w:val="16"/>
              </w:rPr>
              <w:t>1. Legal advice</w:t>
            </w:r>
            <w:r w:rsidR="008F4835">
              <w:rPr>
                <w:rFonts w:cs="Arial"/>
                <w:sz w:val="16"/>
                <w:szCs w:val="16"/>
              </w:rPr>
              <w:t xml:space="preserve"> sought to inform the Authority’s position and appropriate response;</w:t>
            </w:r>
          </w:p>
          <w:p w:rsidR="00D116C7" w:rsidRDefault="00D116C7" w:rsidP="00FF375E">
            <w:pPr>
              <w:rPr>
                <w:rFonts w:cs="Arial"/>
                <w:sz w:val="16"/>
                <w:szCs w:val="16"/>
              </w:rPr>
            </w:pPr>
            <w:r>
              <w:rPr>
                <w:rFonts w:cs="Arial"/>
                <w:sz w:val="16"/>
                <w:szCs w:val="16"/>
              </w:rPr>
              <w:t>2. Stakeholder engagement and co-ordinated action between key parties (EA/KBC/MWDA)</w:t>
            </w:r>
            <w:r w:rsidR="004C74E0">
              <w:rPr>
                <w:rFonts w:cs="Arial"/>
                <w:sz w:val="16"/>
                <w:szCs w:val="16"/>
              </w:rPr>
              <w:t>;</w:t>
            </w:r>
          </w:p>
          <w:p w:rsidR="004C74E0" w:rsidRDefault="004C74E0" w:rsidP="00FF375E">
            <w:pPr>
              <w:rPr>
                <w:rFonts w:cs="Arial"/>
                <w:sz w:val="16"/>
                <w:szCs w:val="16"/>
              </w:rPr>
            </w:pPr>
          </w:p>
        </w:tc>
      </w:tr>
    </w:tbl>
    <w:p w:rsidR="0039477C" w:rsidRPr="008D7199" w:rsidRDefault="0039477C" w:rsidP="009E2C79">
      <w:pPr>
        <w:pStyle w:val="Bodytextnumbered"/>
        <w:numPr>
          <w:ilvl w:val="0"/>
          <w:numId w:val="0"/>
        </w:numPr>
      </w:pPr>
    </w:p>
    <w:p w:rsidR="004701E7" w:rsidRDefault="004701E7" w:rsidP="00E346F9">
      <w:pPr>
        <w:pStyle w:val="Heading1"/>
      </w:pPr>
      <w:r>
        <w:t>HR Implications</w:t>
      </w:r>
    </w:p>
    <w:p w:rsidR="008D7199" w:rsidRDefault="00A51173" w:rsidP="008D7199">
      <w:pPr>
        <w:pStyle w:val="Bodytextnumbered"/>
      </w:pPr>
      <w:r>
        <w:t>There are no HR implications associated with this report.</w:t>
      </w:r>
    </w:p>
    <w:p w:rsidR="002038E1" w:rsidRDefault="002038E1" w:rsidP="002038E1">
      <w:pPr>
        <w:pStyle w:val="Heading1"/>
      </w:pPr>
      <w:r>
        <w:t>Environmental Implications</w:t>
      </w:r>
    </w:p>
    <w:p w:rsidR="002038E1" w:rsidRPr="00092FC5" w:rsidRDefault="008F4835" w:rsidP="008F4835">
      <w:pPr>
        <w:pStyle w:val="Bodytextnumbered"/>
        <w:jc w:val="both"/>
      </w:pPr>
      <w:r>
        <w:t xml:space="preserve">If </w:t>
      </w:r>
      <w:r w:rsidR="00510AEB">
        <w:t xml:space="preserve">Suez </w:t>
      </w:r>
      <w:proofErr w:type="gramStart"/>
      <w:r w:rsidR="00510AEB">
        <w:t>fail</w:t>
      </w:r>
      <w:proofErr w:type="gramEnd"/>
      <w:r w:rsidR="00510AEB">
        <w:t xml:space="preserve"> to substantially </w:t>
      </w:r>
      <w:r>
        <w:t>resolve</w:t>
      </w:r>
      <w:r w:rsidR="00510AEB">
        <w:t xml:space="preserve"> their odour management issues</w:t>
      </w:r>
      <w:r>
        <w:t xml:space="preserve"> in the short to medium</w:t>
      </w:r>
      <w:r w:rsidR="00401DD1">
        <w:t xml:space="preserve"> term</w:t>
      </w:r>
      <w:r>
        <w:t>, there is the potential for continued odour impact</w:t>
      </w:r>
      <w:r w:rsidR="00524990">
        <w:t xml:space="preserve"> on the local community</w:t>
      </w:r>
      <w:r>
        <w:t>.</w:t>
      </w:r>
    </w:p>
    <w:p w:rsidR="00F5396C" w:rsidRPr="00092FC5" w:rsidRDefault="001B4EA9" w:rsidP="008F4835">
      <w:pPr>
        <w:pStyle w:val="Bodytextnumbered"/>
        <w:jc w:val="both"/>
      </w:pPr>
      <w:r>
        <w:t xml:space="preserve">As a result of the ongoing delays, further waste that was expected to be sent for energy recovery is expected to be disposed of to landfill. </w:t>
      </w:r>
    </w:p>
    <w:p w:rsidR="004701E7" w:rsidRDefault="000C01BD" w:rsidP="00E346F9">
      <w:pPr>
        <w:pStyle w:val="Heading1"/>
      </w:pPr>
      <w:r>
        <w:t>Financial I</w:t>
      </w:r>
      <w:r w:rsidR="004701E7">
        <w:t>mplications</w:t>
      </w:r>
    </w:p>
    <w:p w:rsidR="00307DFD" w:rsidRDefault="00EC47E5" w:rsidP="00EC47E5">
      <w:pPr>
        <w:pStyle w:val="Bodytextnumbered"/>
      </w:pPr>
      <w:r w:rsidRPr="00EC47E5">
        <w:t xml:space="preserve">During 2017-18 the cost of the commissioning tonnes and alternative interim arrangements is considered unlikely to exceed budgeted costs. The budget was based on achieving full service for the </w:t>
      </w:r>
      <w:proofErr w:type="gramStart"/>
      <w:r w:rsidRPr="00EC47E5">
        <w:t>RRC,</w:t>
      </w:r>
      <w:proofErr w:type="gramEnd"/>
      <w:r w:rsidRPr="00EC47E5">
        <w:t xml:space="preserve"> the cost of commissioning tonnes remains lower than the full service cost. Even </w:t>
      </w:r>
      <w:r w:rsidRPr="00EC47E5">
        <w:lastRenderedPageBreak/>
        <w:t>where alternative arrangements are made their cost combined with that of the commissioning tonnes is considered unlikely to exceed the full service cost.</w:t>
      </w:r>
      <w:bookmarkStart w:id="1" w:name="_GoBack"/>
      <w:bookmarkEnd w:id="1"/>
      <w:r w:rsidR="00A36095">
        <w:t xml:space="preserve"> </w:t>
      </w:r>
    </w:p>
    <w:p w:rsidR="0084765E" w:rsidRDefault="0084765E" w:rsidP="0084765E">
      <w:pPr>
        <w:pStyle w:val="Heading1"/>
      </w:pPr>
      <w:r>
        <w:t>Legal Implications</w:t>
      </w:r>
    </w:p>
    <w:p w:rsidR="00307DFD" w:rsidRPr="0081331D" w:rsidRDefault="001B4EA9" w:rsidP="001B4EA9">
      <w:pPr>
        <w:pStyle w:val="Bodytextnumbered"/>
        <w:jc w:val="both"/>
      </w:pPr>
      <w:r>
        <w:t>T</w:t>
      </w:r>
      <w:r w:rsidR="009420DB">
        <w:t xml:space="preserve">he potential </w:t>
      </w:r>
      <w:r w:rsidR="00267698">
        <w:t xml:space="preserve">exists </w:t>
      </w:r>
      <w:r w:rsidR="009420DB">
        <w:t xml:space="preserve">for </w:t>
      </w:r>
      <w:r w:rsidR="00267698">
        <w:t xml:space="preserve">a </w:t>
      </w:r>
      <w:r w:rsidR="009420DB">
        <w:t>challenge</w:t>
      </w:r>
      <w:r w:rsidR="00267698">
        <w:t xml:space="preserve"> to</w:t>
      </w:r>
      <w:r w:rsidR="009420DB">
        <w:t xml:space="preserve"> the interim disposal agreement with Suez</w:t>
      </w:r>
      <w:r>
        <w:t xml:space="preserve">. Legal advice </w:t>
      </w:r>
      <w:r w:rsidR="002F61E6">
        <w:t>has been</w:t>
      </w:r>
      <w:r w:rsidR="002D32E9">
        <w:t xml:space="preserve"> sought, and will continue to be sought </w:t>
      </w:r>
      <w:r>
        <w:t>as required to inform the Authority’s ongoing review of matters</w:t>
      </w:r>
      <w:r w:rsidR="0080295C">
        <w:t xml:space="preserve"> as is felt appropriate</w:t>
      </w:r>
      <w:r>
        <w:t>.</w:t>
      </w:r>
    </w:p>
    <w:p w:rsidR="004701E7" w:rsidRDefault="004701E7" w:rsidP="00506FE0">
      <w:pPr>
        <w:pStyle w:val="Heading1"/>
        <w:jc w:val="both"/>
      </w:pPr>
      <w:r>
        <w:t>Conclusion</w:t>
      </w:r>
    </w:p>
    <w:p w:rsidR="00907A4A" w:rsidRDefault="00267698" w:rsidP="00506FE0">
      <w:pPr>
        <w:pStyle w:val="Bodytextnumbered"/>
        <w:jc w:val="both"/>
      </w:pPr>
      <w:r>
        <w:t>P</w:t>
      </w:r>
      <w:r w:rsidR="00E32BF8">
        <w:t>ositive progress has been made with</w:t>
      </w:r>
      <w:r w:rsidR="001B4EA9">
        <w:t xml:space="preserve"> both the Wilton EfW and Kirkby RTLS facilities</w:t>
      </w:r>
      <w:r w:rsidR="00E32BF8">
        <w:t xml:space="preserve"> now</w:t>
      </w:r>
      <w:r>
        <w:t xml:space="preserve"> under Suez operational control.</w:t>
      </w:r>
      <w:r w:rsidR="00E32BF8">
        <w:t xml:space="preserve"> </w:t>
      </w:r>
      <w:r w:rsidR="00A818B4">
        <w:t xml:space="preserve">The roof damage </w:t>
      </w:r>
      <w:r w:rsidR="003574B4">
        <w:t>at the RTLS has been repaired, allowing rail transfer operations to recommence and final operational issues relating to waste compactors are being addressed. Whilst</w:t>
      </w:r>
      <w:r>
        <w:t xml:space="preserve"> </w:t>
      </w:r>
      <w:r w:rsidR="00E32BF8">
        <w:t>t</w:t>
      </w:r>
      <w:r w:rsidR="00C6258D">
        <w:t xml:space="preserve">he Authority’s strategic contract with MERL </w:t>
      </w:r>
      <w:r w:rsidR="00E32BF8">
        <w:t>continues to experience</w:t>
      </w:r>
      <w:r w:rsidR="00C6258D">
        <w:t xml:space="preserve"> </w:t>
      </w:r>
      <w:r w:rsidR="00C37BC6">
        <w:t>a</w:t>
      </w:r>
      <w:r>
        <w:t>n ongoing</w:t>
      </w:r>
      <w:r w:rsidR="00C37BC6">
        <w:t xml:space="preserve"> </w:t>
      </w:r>
      <w:r w:rsidR="00C6258D">
        <w:t>delay to progression to</w:t>
      </w:r>
      <w:r w:rsidR="00C37BC6">
        <w:t xml:space="preserve"> full operations</w:t>
      </w:r>
      <w:r w:rsidR="003574B4">
        <w:t>, operational full-service is anticipated to commence very shortly</w:t>
      </w:r>
      <w:r w:rsidR="00C37BC6">
        <w:t>.</w:t>
      </w:r>
    </w:p>
    <w:p w:rsidR="00506FE0" w:rsidRDefault="00506FE0" w:rsidP="00506FE0">
      <w:pPr>
        <w:pStyle w:val="Bodytextnumbered"/>
        <w:jc w:val="both"/>
      </w:pPr>
      <w:r>
        <w:t xml:space="preserve">There are not expected to be any significant impacts on District deliveries during the </w:t>
      </w:r>
      <w:r w:rsidR="00E32BF8">
        <w:t>continued</w:t>
      </w:r>
      <w:r>
        <w:t xml:space="preserve"> commissioning period, and M</w:t>
      </w:r>
      <w:r w:rsidR="00E32BF8">
        <w:t>RWA</w:t>
      </w:r>
      <w:r>
        <w:t xml:space="preserve"> officers will continue to work with all parties to ensure that this continues to be the case.</w:t>
      </w:r>
    </w:p>
    <w:p w:rsidR="00E32BF8" w:rsidRDefault="00E32BF8" w:rsidP="00506FE0">
      <w:pPr>
        <w:pStyle w:val="Bodytextnumbered"/>
        <w:jc w:val="both"/>
      </w:pPr>
      <w:r>
        <w:t>The Authority will continue to use temporary, interim disposal arrangements agree</w:t>
      </w:r>
      <w:r w:rsidR="005024BF">
        <w:t>d with Suez</w:t>
      </w:r>
      <w:r>
        <w:t>.</w:t>
      </w:r>
      <w:r w:rsidR="005024BF">
        <w:t xml:space="preserve"> The requirement for these will be routinely reviewed</w:t>
      </w:r>
      <w:r w:rsidR="001B4EA9">
        <w:t xml:space="preserve"> by senior management</w:t>
      </w:r>
      <w:r w:rsidR="005024BF">
        <w:t>.</w:t>
      </w:r>
    </w:p>
    <w:p w:rsidR="00C6258D" w:rsidRDefault="00C6258D" w:rsidP="00506FE0">
      <w:pPr>
        <w:pStyle w:val="Bodytextnumbered"/>
        <w:jc w:val="both"/>
      </w:pPr>
      <w:r>
        <w:t>Odours management at the Kirkby facility remains a key priority for the Contractor to satisfactorily address</w:t>
      </w:r>
      <w:r w:rsidR="00C37BC6">
        <w:t xml:space="preserve"> to ensure both full compliance with relevant statutory consents and t</w:t>
      </w:r>
      <w:r w:rsidR="00096AE9">
        <w:t>o prevent the facility causing</w:t>
      </w:r>
      <w:r w:rsidR="00C37BC6">
        <w:t xml:space="preserve"> nuisance to the surrounding neighbours.</w:t>
      </w:r>
    </w:p>
    <w:p w:rsidR="00672620" w:rsidRPr="00234198" w:rsidRDefault="004F43F1" w:rsidP="00506FE0">
      <w:pPr>
        <w:pStyle w:val="Bodytextnumbered"/>
        <w:jc w:val="both"/>
      </w:pPr>
      <w:r>
        <w:t>A</w:t>
      </w:r>
      <w:r w:rsidR="00672620">
        <w:t xml:space="preserve"> further update will be provided to the Authority </w:t>
      </w:r>
      <w:r w:rsidR="00B700D9">
        <w:t>at</w:t>
      </w:r>
      <w:r w:rsidR="00672620">
        <w:t xml:space="preserve"> the </w:t>
      </w:r>
      <w:r w:rsidR="003574B4">
        <w:t>September</w:t>
      </w:r>
      <w:r w:rsidR="00672620">
        <w:t xml:space="preserve"> meeting.</w:t>
      </w:r>
    </w:p>
    <w:tbl>
      <w:tblPr>
        <w:tblW w:w="0" w:type="auto"/>
        <w:tblLook w:val="0000" w:firstRow="0" w:lastRow="0" w:firstColumn="0" w:lastColumn="0" w:noHBand="0" w:noVBand="0"/>
      </w:tblPr>
      <w:tblGrid>
        <w:gridCol w:w="9245"/>
      </w:tblGrid>
      <w:tr w:rsidR="00E4410A" w:rsidTr="0033612C">
        <w:trPr>
          <w:cantSplit/>
        </w:trPr>
        <w:tc>
          <w:tcPr>
            <w:tcW w:w="9245" w:type="dxa"/>
          </w:tcPr>
          <w:p w:rsidR="009A3CDD" w:rsidRDefault="009A3CDD" w:rsidP="0033612C">
            <w:pPr>
              <w:pStyle w:val="Contact"/>
              <w:keepNext/>
              <w:tabs>
                <w:tab w:val="center" w:pos="4153"/>
                <w:tab w:val="right" w:pos="8306"/>
              </w:tabs>
            </w:pPr>
            <w:bookmarkStart w:id="2" w:name="Contact"/>
            <w:r>
              <w:lastRenderedPageBreak/>
              <w:t>The contact officer for this report is: Ian Stephenson</w:t>
            </w:r>
            <w:r>
              <w:br/>
              <w:t>MRWA</w:t>
            </w:r>
          </w:p>
          <w:p w:rsidR="009A3CDD" w:rsidRDefault="009A3CDD" w:rsidP="0033612C">
            <w:pPr>
              <w:pStyle w:val="Contact"/>
              <w:keepNext/>
              <w:tabs>
                <w:tab w:val="center" w:pos="4153"/>
                <w:tab w:val="right" w:pos="8306"/>
              </w:tabs>
            </w:pPr>
            <w:r>
              <w:t>7th Floor</w:t>
            </w:r>
          </w:p>
          <w:p w:rsidR="009A3CDD" w:rsidRDefault="009A3CDD" w:rsidP="0033612C">
            <w:pPr>
              <w:pStyle w:val="Contact"/>
              <w:keepNext/>
              <w:tabs>
                <w:tab w:val="center" w:pos="4153"/>
                <w:tab w:val="right" w:pos="8306"/>
              </w:tabs>
            </w:pPr>
            <w:r>
              <w:t>No. 1 Mann Island</w:t>
            </w:r>
          </w:p>
          <w:p w:rsidR="009A3CDD" w:rsidRDefault="009A3CDD" w:rsidP="0033612C">
            <w:pPr>
              <w:pStyle w:val="Contact"/>
              <w:keepNext/>
              <w:tabs>
                <w:tab w:val="center" w:pos="4153"/>
                <w:tab w:val="right" w:pos="8306"/>
              </w:tabs>
            </w:pPr>
            <w:r>
              <w:t>Liverpool</w:t>
            </w:r>
          </w:p>
          <w:p w:rsidR="00010101" w:rsidRPr="00E4410A" w:rsidRDefault="009A3CDD" w:rsidP="0033612C">
            <w:pPr>
              <w:pStyle w:val="Contact"/>
              <w:keepNext/>
              <w:tabs>
                <w:tab w:val="center" w:pos="4153"/>
                <w:tab w:val="right" w:pos="8306"/>
              </w:tabs>
            </w:pPr>
            <w:r>
              <w:t>Merseyside L3 1BP</w:t>
            </w:r>
            <w:r>
              <w:br/>
            </w:r>
            <w:r>
              <w:br/>
              <w:t>Email:</w:t>
            </w:r>
            <w:r>
              <w:tab/>
              <w:t xml:space="preserve">ian.stephenson@merseysidewda.gov.uk </w:t>
            </w:r>
            <w:r>
              <w:br/>
              <w:t>Tel:</w:t>
            </w:r>
            <w:r>
              <w:tab/>
              <w:t>0151 255 2532Fax:</w:t>
            </w:r>
            <w:r>
              <w:tab/>
            </w:r>
            <w:r>
              <w:br/>
            </w:r>
            <w:r>
              <w:br/>
              <w:t>The background documents to this report are open to inspection in accordance with Section 100D of The Local Government Act 1972 - Nil.</w:t>
            </w:r>
          </w:p>
        </w:tc>
      </w:tr>
      <w:bookmarkEnd w:id="2"/>
    </w:tbl>
    <w:p w:rsidR="00E4410A" w:rsidRDefault="00E4410A" w:rsidP="00907A4A">
      <w:pPr>
        <w:pStyle w:val="BodyText"/>
        <w:spacing w:after="0"/>
        <w:rPr>
          <w:rFonts w:cs="Arial"/>
        </w:rPr>
      </w:pPr>
    </w:p>
    <w:sectPr w:rsidR="00E4410A" w:rsidSect="00813621">
      <w:headerReference w:type="even" r:id="rId9"/>
      <w:headerReference w:type="default" r:id="rId10"/>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0D" w:rsidRDefault="007E5B0D">
      <w:r>
        <w:separator/>
      </w:r>
    </w:p>
  </w:endnote>
  <w:endnote w:type="continuationSeparator" w:id="0">
    <w:p w:rsidR="007E5B0D" w:rsidRDefault="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0D" w:rsidRDefault="007E5B0D">
      <w:r>
        <w:separator/>
      </w:r>
    </w:p>
  </w:footnote>
  <w:footnote w:type="continuationSeparator" w:id="0">
    <w:p w:rsidR="007E5B0D" w:rsidRDefault="007E5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DD" w:rsidRDefault="009A3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BE" w:rsidRPr="00311655" w:rsidRDefault="00130128" w:rsidP="00813621">
    <w:pPr>
      <w:pStyle w:val="Header"/>
      <w:jc w:val="right"/>
      <w:rPr>
        <w:b/>
        <w:sz w:val="56"/>
        <w:szCs w:val="56"/>
      </w:rPr>
    </w:pPr>
    <w:r>
      <w:rPr>
        <w:b/>
        <w:sz w:val="56"/>
        <w:szCs w:val="56"/>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4C908"/>
    <w:lvl w:ilvl="0">
      <w:start w:val="1"/>
      <w:numFmt w:val="decimal"/>
      <w:lvlText w:val="%1."/>
      <w:lvlJc w:val="left"/>
      <w:pPr>
        <w:tabs>
          <w:tab w:val="num" w:pos="1492"/>
        </w:tabs>
        <w:ind w:left="1492" w:hanging="360"/>
      </w:pPr>
    </w:lvl>
  </w:abstractNum>
  <w:abstractNum w:abstractNumId="1">
    <w:nsid w:val="FFFFFF7D"/>
    <w:multiLevelType w:val="singleLevel"/>
    <w:tmpl w:val="156AD878"/>
    <w:lvl w:ilvl="0">
      <w:start w:val="1"/>
      <w:numFmt w:val="decimal"/>
      <w:lvlText w:val="%1."/>
      <w:lvlJc w:val="left"/>
      <w:pPr>
        <w:tabs>
          <w:tab w:val="num" w:pos="1209"/>
        </w:tabs>
        <w:ind w:left="1209" w:hanging="360"/>
      </w:pPr>
    </w:lvl>
  </w:abstractNum>
  <w:abstractNum w:abstractNumId="2">
    <w:nsid w:val="FFFFFF7E"/>
    <w:multiLevelType w:val="singleLevel"/>
    <w:tmpl w:val="06C2A866"/>
    <w:lvl w:ilvl="0">
      <w:start w:val="1"/>
      <w:numFmt w:val="decimal"/>
      <w:lvlText w:val="%1."/>
      <w:lvlJc w:val="left"/>
      <w:pPr>
        <w:tabs>
          <w:tab w:val="num" w:pos="926"/>
        </w:tabs>
        <w:ind w:left="926" w:hanging="360"/>
      </w:pPr>
    </w:lvl>
  </w:abstractNum>
  <w:abstractNum w:abstractNumId="3">
    <w:nsid w:val="FFFFFF7F"/>
    <w:multiLevelType w:val="singleLevel"/>
    <w:tmpl w:val="79E84358"/>
    <w:lvl w:ilvl="0">
      <w:start w:val="1"/>
      <w:numFmt w:val="decimal"/>
      <w:lvlText w:val="%1."/>
      <w:lvlJc w:val="left"/>
      <w:pPr>
        <w:tabs>
          <w:tab w:val="num" w:pos="643"/>
        </w:tabs>
        <w:ind w:left="643" w:hanging="360"/>
      </w:pPr>
    </w:lvl>
  </w:abstractNum>
  <w:abstractNum w:abstractNumId="4">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5"/>
  </w:num>
  <w:num w:numId="24">
    <w:abstractNumId w:val="17"/>
  </w:num>
  <w:num w:numId="25">
    <w:abstractNumId w:val="1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Chief Executive"/>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0"/>
    <w:docVar w:name="optDec" w:val="0"/>
    <w:docVar w:name="optInfo" w:val="-1"/>
    <w:docVar w:name="optPrivate" w:val="0"/>
    <w:docVar w:name="optPublic" w:val="-1"/>
    <w:docVar w:name="RERUN" w:val="1"/>
    <w:docVar w:name="tbAddress" w:val="MRWA_x000d__x000a_7th Floor_x000d__x000a_No. 1 Mann Island_x000d__x000a_Liverpool_x000d__x000a_Merseyside L3 1BP"/>
    <w:docVar w:name="tbAuthor" w:val="Ian Stephenson"/>
    <w:docVar w:name="tbDate" w:val="25th November 2016"/>
    <w:docVar w:name="tbEmail" w:val="ian.stephenson@merseysidewda.gov.uk "/>
    <w:docVar w:name="tbItemNumber" w:val="TBC"/>
    <w:docVar w:name="tbReference" w:val="XXX"/>
    <w:docVar w:name="tbRefYear" w:val="/16"/>
    <w:docVar w:name="tbTelNo" w:val="0151 255 2532"/>
    <w:docVar w:name="tbTitle" w:val="Resource Recovery Contract - Progress Update"/>
    <w:docVar w:name="tbWDA" w:val="WDA/"/>
  </w:docVars>
  <w:rsids>
    <w:rsidRoot w:val="009A3CDD"/>
    <w:rsid w:val="000008BF"/>
    <w:rsid w:val="0000174F"/>
    <w:rsid w:val="00010101"/>
    <w:rsid w:val="0001298D"/>
    <w:rsid w:val="00016F38"/>
    <w:rsid w:val="00032C3A"/>
    <w:rsid w:val="00041BE4"/>
    <w:rsid w:val="00043177"/>
    <w:rsid w:val="0004560F"/>
    <w:rsid w:val="00047478"/>
    <w:rsid w:val="000522AE"/>
    <w:rsid w:val="000764A2"/>
    <w:rsid w:val="00080B51"/>
    <w:rsid w:val="0009089F"/>
    <w:rsid w:val="00092FC5"/>
    <w:rsid w:val="00096AE9"/>
    <w:rsid w:val="000B0B9B"/>
    <w:rsid w:val="000C01BD"/>
    <w:rsid w:val="000F49BE"/>
    <w:rsid w:val="00104797"/>
    <w:rsid w:val="0010717F"/>
    <w:rsid w:val="00107460"/>
    <w:rsid w:val="00112A06"/>
    <w:rsid w:val="001250BD"/>
    <w:rsid w:val="00130128"/>
    <w:rsid w:val="00143440"/>
    <w:rsid w:val="0015317A"/>
    <w:rsid w:val="00162DA3"/>
    <w:rsid w:val="00181F54"/>
    <w:rsid w:val="00193453"/>
    <w:rsid w:val="001935C1"/>
    <w:rsid w:val="001B0797"/>
    <w:rsid w:val="001B1861"/>
    <w:rsid w:val="001B4EA9"/>
    <w:rsid w:val="001B6A16"/>
    <w:rsid w:val="001C0ED0"/>
    <w:rsid w:val="001C4905"/>
    <w:rsid w:val="001C66F1"/>
    <w:rsid w:val="001D7D6D"/>
    <w:rsid w:val="001E56DF"/>
    <w:rsid w:val="001F175F"/>
    <w:rsid w:val="001F44DF"/>
    <w:rsid w:val="002038E1"/>
    <w:rsid w:val="00210783"/>
    <w:rsid w:val="00222ABC"/>
    <w:rsid w:val="00237CA3"/>
    <w:rsid w:val="002414A6"/>
    <w:rsid w:val="00267698"/>
    <w:rsid w:val="00267A15"/>
    <w:rsid w:val="002735D4"/>
    <w:rsid w:val="00283990"/>
    <w:rsid w:val="00295C52"/>
    <w:rsid w:val="002A4BC9"/>
    <w:rsid w:val="002B0101"/>
    <w:rsid w:val="002B6490"/>
    <w:rsid w:val="002B6EB5"/>
    <w:rsid w:val="002D30EA"/>
    <w:rsid w:val="002D32E9"/>
    <w:rsid w:val="002F4EAA"/>
    <w:rsid w:val="002F61E6"/>
    <w:rsid w:val="00307BB8"/>
    <w:rsid w:val="00307DFD"/>
    <w:rsid w:val="00311655"/>
    <w:rsid w:val="0033612C"/>
    <w:rsid w:val="00343AE1"/>
    <w:rsid w:val="003574B4"/>
    <w:rsid w:val="0036067F"/>
    <w:rsid w:val="003725F6"/>
    <w:rsid w:val="0037399B"/>
    <w:rsid w:val="00381433"/>
    <w:rsid w:val="00391120"/>
    <w:rsid w:val="0039477C"/>
    <w:rsid w:val="003C4924"/>
    <w:rsid w:val="003C4E96"/>
    <w:rsid w:val="003C6CE4"/>
    <w:rsid w:val="003D0172"/>
    <w:rsid w:val="003E6C52"/>
    <w:rsid w:val="003F0C18"/>
    <w:rsid w:val="003F59D5"/>
    <w:rsid w:val="0040141A"/>
    <w:rsid w:val="00401DD1"/>
    <w:rsid w:val="00405813"/>
    <w:rsid w:val="00421BF9"/>
    <w:rsid w:val="00444C05"/>
    <w:rsid w:val="004546A3"/>
    <w:rsid w:val="00455614"/>
    <w:rsid w:val="004570EE"/>
    <w:rsid w:val="004701E7"/>
    <w:rsid w:val="0047218D"/>
    <w:rsid w:val="004919A1"/>
    <w:rsid w:val="00493E79"/>
    <w:rsid w:val="004A5FA4"/>
    <w:rsid w:val="004A7E0A"/>
    <w:rsid w:val="004B3503"/>
    <w:rsid w:val="004C52CE"/>
    <w:rsid w:val="004C7423"/>
    <w:rsid w:val="004C74E0"/>
    <w:rsid w:val="004D7F44"/>
    <w:rsid w:val="004E1905"/>
    <w:rsid w:val="004E2BF9"/>
    <w:rsid w:val="004E6B5F"/>
    <w:rsid w:val="004E6CC5"/>
    <w:rsid w:val="004E782E"/>
    <w:rsid w:val="004F43F1"/>
    <w:rsid w:val="004F59EC"/>
    <w:rsid w:val="004F5F7F"/>
    <w:rsid w:val="005024BF"/>
    <w:rsid w:val="00506FE0"/>
    <w:rsid w:val="00507BD9"/>
    <w:rsid w:val="00510AEB"/>
    <w:rsid w:val="005170F0"/>
    <w:rsid w:val="00524990"/>
    <w:rsid w:val="0053045B"/>
    <w:rsid w:val="00561402"/>
    <w:rsid w:val="00561FE3"/>
    <w:rsid w:val="00565702"/>
    <w:rsid w:val="00575349"/>
    <w:rsid w:val="00580EF8"/>
    <w:rsid w:val="005B21CA"/>
    <w:rsid w:val="005B2A24"/>
    <w:rsid w:val="005B47A2"/>
    <w:rsid w:val="005C20DA"/>
    <w:rsid w:val="005D74DD"/>
    <w:rsid w:val="005E160A"/>
    <w:rsid w:val="006011A7"/>
    <w:rsid w:val="00614FE6"/>
    <w:rsid w:val="0064345C"/>
    <w:rsid w:val="006435F6"/>
    <w:rsid w:val="00654E66"/>
    <w:rsid w:val="0066545C"/>
    <w:rsid w:val="00672620"/>
    <w:rsid w:val="00681FBD"/>
    <w:rsid w:val="00685D7F"/>
    <w:rsid w:val="006876D8"/>
    <w:rsid w:val="006B383A"/>
    <w:rsid w:val="006C31F4"/>
    <w:rsid w:val="006C4FFE"/>
    <w:rsid w:val="006C7918"/>
    <w:rsid w:val="006F653C"/>
    <w:rsid w:val="007138AA"/>
    <w:rsid w:val="007526AB"/>
    <w:rsid w:val="00764F8C"/>
    <w:rsid w:val="00765EB0"/>
    <w:rsid w:val="00776680"/>
    <w:rsid w:val="00793435"/>
    <w:rsid w:val="007A01C4"/>
    <w:rsid w:val="007B18D6"/>
    <w:rsid w:val="007D2140"/>
    <w:rsid w:val="007E42DE"/>
    <w:rsid w:val="007E5B0D"/>
    <w:rsid w:val="0080295C"/>
    <w:rsid w:val="00813621"/>
    <w:rsid w:val="00834BC6"/>
    <w:rsid w:val="008418BD"/>
    <w:rsid w:val="0084765E"/>
    <w:rsid w:val="00852696"/>
    <w:rsid w:val="008601D5"/>
    <w:rsid w:val="008622FD"/>
    <w:rsid w:val="00872919"/>
    <w:rsid w:val="008910F9"/>
    <w:rsid w:val="008A4501"/>
    <w:rsid w:val="008A6993"/>
    <w:rsid w:val="008B2DB1"/>
    <w:rsid w:val="008C3AD4"/>
    <w:rsid w:val="008D7199"/>
    <w:rsid w:val="008E7315"/>
    <w:rsid w:val="008F4835"/>
    <w:rsid w:val="00903034"/>
    <w:rsid w:val="00904536"/>
    <w:rsid w:val="0090592D"/>
    <w:rsid w:val="00907A4A"/>
    <w:rsid w:val="00913812"/>
    <w:rsid w:val="009420DB"/>
    <w:rsid w:val="00955428"/>
    <w:rsid w:val="00956A4D"/>
    <w:rsid w:val="00960DDF"/>
    <w:rsid w:val="009871EC"/>
    <w:rsid w:val="00993DF7"/>
    <w:rsid w:val="009A3CDD"/>
    <w:rsid w:val="009B6255"/>
    <w:rsid w:val="009C7B87"/>
    <w:rsid w:val="009D7827"/>
    <w:rsid w:val="009D78B8"/>
    <w:rsid w:val="009E0F47"/>
    <w:rsid w:val="009E2C79"/>
    <w:rsid w:val="009F0374"/>
    <w:rsid w:val="009F3F2B"/>
    <w:rsid w:val="009F5574"/>
    <w:rsid w:val="00A06A19"/>
    <w:rsid w:val="00A07D4C"/>
    <w:rsid w:val="00A10360"/>
    <w:rsid w:val="00A36095"/>
    <w:rsid w:val="00A51173"/>
    <w:rsid w:val="00A661BD"/>
    <w:rsid w:val="00A665C4"/>
    <w:rsid w:val="00A818B4"/>
    <w:rsid w:val="00A84684"/>
    <w:rsid w:val="00A90EA7"/>
    <w:rsid w:val="00A933BE"/>
    <w:rsid w:val="00AC0631"/>
    <w:rsid w:val="00AC0BA2"/>
    <w:rsid w:val="00AD188A"/>
    <w:rsid w:val="00AD4AA1"/>
    <w:rsid w:val="00AD4BC5"/>
    <w:rsid w:val="00AF32F8"/>
    <w:rsid w:val="00B20CF2"/>
    <w:rsid w:val="00B27477"/>
    <w:rsid w:val="00B54421"/>
    <w:rsid w:val="00B64EA1"/>
    <w:rsid w:val="00B700D9"/>
    <w:rsid w:val="00B7597A"/>
    <w:rsid w:val="00BA1CBE"/>
    <w:rsid w:val="00BA1DDA"/>
    <w:rsid w:val="00BC363E"/>
    <w:rsid w:val="00BF4C40"/>
    <w:rsid w:val="00BF5D73"/>
    <w:rsid w:val="00BF6D1D"/>
    <w:rsid w:val="00C00182"/>
    <w:rsid w:val="00C27231"/>
    <w:rsid w:val="00C37BC6"/>
    <w:rsid w:val="00C45690"/>
    <w:rsid w:val="00C51810"/>
    <w:rsid w:val="00C53068"/>
    <w:rsid w:val="00C6258D"/>
    <w:rsid w:val="00C72247"/>
    <w:rsid w:val="00C864C7"/>
    <w:rsid w:val="00CA035A"/>
    <w:rsid w:val="00CA07CB"/>
    <w:rsid w:val="00CA6B7D"/>
    <w:rsid w:val="00CC0936"/>
    <w:rsid w:val="00CE7B5A"/>
    <w:rsid w:val="00CF28C7"/>
    <w:rsid w:val="00D07481"/>
    <w:rsid w:val="00D10382"/>
    <w:rsid w:val="00D116C7"/>
    <w:rsid w:val="00D11DF2"/>
    <w:rsid w:val="00D13913"/>
    <w:rsid w:val="00D14FA9"/>
    <w:rsid w:val="00D15259"/>
    <w:rsid w:val="00D304E4"/>
    <w:rsid w:val="00D451E9"/>
    <w:rsid w:val="00D46E33"/>
    <w:rsid w:val="00D56A05"/>
    <w:rsid w:val="00D57B8A"/>
    <w:rsid w:val="00D60711"/>
    <w:rsid w:val="00D64927"/>
    <w:rsid w:val="00D65910"/>
    <w:rsid w:val="00D7100B"/>
    <w:rsid w:val="00DA3FF8"/>
    <w:rsid w:val="00DC0EB2"/>
    <w:rsid w:val="00DC64DF"/>
    <w:rsid w:val="00DF2867"/>
    <w:rsid w:val="00E21745"/>
    <w:rsid w:val="00E32BF8"/>
    <w:rsid w:val="00E346F9"/>
    <w:rsid w:val="00E4410A"/>
    <w:rsid w:val="00E459A6"/>
    <w:rsid w:val="00E56740"/>
    <w:rsid w:val="00E72ABE"/>
    <w:rsid w:val="00E8093A"/>
    <w:rsid w:val="00E8211E"/>
    <w:rsid w:val="00E848B2"/>
    <w:rsid w:val="00E91705"/>
    <w:rsid w:val="00EA7DC7"/>
    <w:rsid w:val="00EC47E5"/>
    <w:rsid w:val="00EF0D78"/>
    <w:rsid w:val="00EF580D"/>
    <w:rsid w:val="00F00C67"/>
    <w:rsid w:val="00F161B3"/>
    <w:rsid w:val="00F22234"/>
    <w:rsid w:val="00F25C55"/>
    <w:rsid w:val="00F37F39"/>
    <w:rsid w:val="00F461BD"/>
    <w:rsid w:val="00F5396C"/>
    <w:rsid w:val="00F53A91"/>
    <w:rsid w:val="00F61042"/>
    <w:rsid w:val="00F63B16"/>
    <w:rsid w:val="00F63F36"/>
    <w:rsid w:val="00F70DD7"/>
    <w:rsid w:val="00F72C20"/>
    <w:rsid w:val="00F778DF"/>
    <w:rsid w:val="00F80BEB"/>
    <w:rsid w:val="00FC6142"/>
    <w:rsid w:val="00FD233D"/>
    <w:rsid w:val="00FF375E"/>
    <w:rsid w:val="00FF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ECDD-3979-4B91-89D9-7E0E376D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MWDA_Report v2</Template>
  <TotalTime>2</TotalTime>
  <Pages>8</Pages>
  <Words>1520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Resource Recovery Contract - Progress Update</vt:lpstr>
    </vt:vector>
  </TitlesOfParts>
  <Company>MWDA</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Recovery Contract - Progress Update</dc:title>
  <dc:subject>Version 1.0</dc:subject>
  <dc:creator>Stephenson, Ian</dc:creator>
  <cp:lastModifiedBy>Williams, Peter</cp:lastModifiedBy>
  <cp:revision>4</cp:revision>
  <cp:lastPrinted>2017-06-06T16:07:00Z</cp:lastPrinted>
  <dcterms:created xsi:type="dcterms:W3CDTF">2017-06-06T09:31:00Z</dcterms:created>
  <dcterms:modified xsi:type="dcterms:W3CDTF">2017-06-12T09:06:00Z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WDA/XXX/16</vt:lpwstr>
  </property>
  <property fmtid="{D5CDD505-2E9C-101B-9397-08002B2CF9AE}" pid="3" name="Date">
    <vt:lpwstr>25th November 2016</vt:lpwstr>
  </property>
  <property fmtid="{D5CDD505-2E9C-101B-9397-08002B2CF9AE}" pid="4" name="ItemNumber">
    <vt:lpwstr>TBC</vt:lpwstr>
  </property>
  <property fmtid="{D5CDD505-2E9C-101B-9397-08002B2CF9AE}" pid="5" name="MeetingType">
    <vt:lpwstr>Merseyside Waste Disposal Authority</vt:lpwstr>
  </property>
  <property fmtid="{D5CDD505-2E9C-101B-9397-08002B2CF9AE}" pid="6" name="ReportOriginator">
    <vt:lpwstr>Chief Executive</vt:lpwstr>
  </property>
  <property fmtid="{D5CDD505-2E9C-101B-9397-08002B2CF9AE}" pid="7" name="Reason">
    <vt:lpwstr/>
  </property>
  <property fmtid="{D5CDD505-2E9C-101B-9397-08002B2CF9AE}" pid="8" name="HeaderPublicPrivateText">
    <vt:lpwstr>HeaderPublicPrivateText</vt:lpwstr>
  </property>
</Properties>
</file>