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E6" w:rsidRDefault="000259E6" w:rsidP="000259E6">
      <w:pPr>
        <w:ind w:left="720" w:hanging="720"/>
        <w:rPr>
          <w:b/>
        </w:rPr>
      </w:pPr>
      <w:bookmarkStart w:id="0" w:name="_GoBack"/>
      <w:bookmarkEnd w:id="0"/>
      <w:r>
        <w:rPr>
          <w:b/>
        </w:rPr>
        <w:t>Treasury Limits and Prudential Indicators</w:t>
      </w:r>
    </w:p>
    <w:tbl>
      <w:tblPr>
        <w:tblStyle w:val="TableGrid"/>
        <w:tblW w:w="0" w:type="auto"/>
        <w:tblInd w:w="0" w:type="dxa"/>
        <w:tblLook w:val="04A0" w:firstRow="1" w:lastRow="0" w:firstColumn="1" w:lastColumn="0" w:noHBand="0" w:noVBand="1"/>
      </w:tblPr>
      <w:tblGrid>
        <w:gridCol w:w="563"/>
        <w:gridCol w:w="2011"/>
        <w:gridCol w:w="1713"/>
        <w:gridCol w:w="1491"/>
        <w:gridCol w:w="1560"/>
        <w:gridCol w:w="1904"/>
      </w:tblGrid>
      <w:tr w:rsidR="00CE4C33" w:rsidTr="00CE4C33">
        <w:tc>
          <w:tcPr>
            <w:tcW w:w="4287" w:type="dxa"/>
            <w:gridSpan w:val="3"/>
            <w:tcBorders>
              <w:top w:val="single" w:sz="4" w:space="0" w:color="auto"/>
              <w:left w:val="single" w:sz="4" w:space="0" w:color="auto"/>
              <w:bottom w:val="single" w:sz="4" w:space="0" w:color="auto"/>
              <w:right w:val="single" w:sz="4" w:space="0" w:color="auto"/>
            </w:tcBorders>
            <w:hideMark/>
          </w:tcPr>
          <w:p w:rsidR="00CE4C33" w:rsidRDefault="00CE4C33">
            <w:pPr>
              <w:ind w:left="720" w:hanging="720"/>
              <w:rPr>
                <w:b/>
              </w:rPr>
            </w:pPr>
            <w:r>
              <w:rPr>
                <w:b/>
              </w:rPr>
              <w:t>Treasury Limits and Prudential Indicators</w:t>
            </w:r>
          </w:p>
          <w:p w:rsidR="00CE4C33" w:rsidRDefault="00CE4C33" w:rsidP="00612C27">
            <w:pPr>
              <w:rPr>
                <w:b/>
              </w:rPr>
            </w:pPr>
            <w:r>
              <w:rPr>
                <w:b/>
              </w:rPr>
              <w:t xml:space="preserve">(established 2014/15) </w:t>
            </w:r>
          </w:p>
        </w:tc>
        <w:tc>
          <w:tcPr>
            <w:tcW w:w="1491" w:type="dxa"/>
            <w:tcBorders>
              <w:top w:val="single" w:sz="4" w:space="0" w:color="auto"/>
              <w:left w:val="single" w:sz="4" w:space="0" w:color="auto"/>
              <w:bottom w:val="single" w:sz="4" w:space="0" w:color="auto"/>
              <w:right w:val="single" w:sz="4" w:space="0" w:color="auto"/>
            </w:tcBorders>
            <w:hideMark/>
          </w:tcPr>
          <w:p w:rsidR="00CE4C33" w:rsidRDefault="00CE4C33" w:rsidP="00F82ECA">
            <w:pPr>
              <w:rPr>
                <w:b/>
              </w:rPr>
            </w:pPr>
            <w:r>
              <w:rPr>
                <w:b/>
              </w:rPr>
              <w:t>2016/17 Revised</w:t>
            </w:r>
          </w:p>
        </w:tc>
        <w:tc>
          <w:tcPr>
            <w:tcW w:w="1560" w:type="dxa"/>
            <w:tcBorders>
              <w:top w:val="single" w:sz="4" w:space="0" w:color="auto"/>
              <w:left w:val="single" w:sz="4" w:space="0" w:color="auto"/>
              <w:bottom w:val="single" w:sz="4" w:space="0" w:color="auto"/>
              <w:right w:val="single" w:sz="4" w:space="0" w:color="auto"/>
            </w:tcBorders>
            <w:hideMark/>
          </w:tcPr>
          <w:p w:rsidR="00CE4C33" w:rsidRDefault="00CE4C33" w:rsidP="00F82ECA">
            <w:pPr>
              <w:rPr>
                <w:b/>
              </w:rPr>
            </w:pPr>
            <w:r>
              <w:rPr>
                <w:b/>
              </w:rPr>
              <w:t>2016/17 Actual</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F82ECA">
            <w:pPr>
              <w:rPr>
                <w:b/>
              </w:rPr>
            </w:pPr>
            <w:r>
              <w:rPr>
                <w:b/>
              </w:rPr>
              <w:t>Commentary</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1(</w:t>
            </w:r>
            <w:proofErr w:type="spellStart"/>
            <w:r>
              <w:t>i</w:t>
            </w:r>
            <w:proofErr w:type="spellEnd"/>
            <w:r>
              <w:t>)</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Proposed capital expenditure that the Authority plans to commit during the forthcoming subsequent two financial years</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Capital Expenditure (£M)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0.000</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0.000</w:t>
            </w:r>
          </w:p>
        </w:tc>
        <w:tc>
          <w:tcPr>
            <w:tcW w:w="1904" w:type="dxa"/>
            <w:tcBorders>
              <w:top w:val="single" w:sz="4" w:space="0" w:color="auto"/>
              <w:left w:val="single" w:sz="4" w:space="0" w:color="auto"/>
              <w:bottom w:val="single" w:sz="4" w:space="0" w:color="auto"/>
              <w:right w:val="single" w:sz="4" w:space="0" w:color="auto"/>
            </w:tcBorders>
          </w:tcPr>
          <w:p w:rsidR="00CE4C33" w:rsidRPr="00CE4C33" w:rsidRDefault="00CE4C33" w:rsidP="00CE4C33">
            <w:pPr>
              <w:rPr>
                <w:i/>
                <w:sz w:val="18"/>
                <w:szCs w:val="18"/>
              </w:rPr>
            </w:pPr>
          </w:p>
          <w:p w:rsidR="00CE4C33" w:rsidRPr="00CE4C33" w:rsidRDefault="00CE4C33" w:rsidP="00CE4C33">
            <w:pPr>
              <w:rPr>
                <w:i/>
                <w:sz w:val="18"/>
                <w:szCs w:val="18"/>
              </w:rPr>
            </w:pPr>
            <w:r w:rsidRPr="00CE4C33">
              <w:rPr>
                <w:i/>
                <w:sz w:val="18"/>
                <w:szCs w:val="18"/>
              </w:rPr>
              <w:t>No capital programme was brought forward, there was no planned capital expenditure</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1(ii)</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Additional in year borrowing requirement for capital expenditure</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In year Capital Financing Requirement (CFR) (£M)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(1.213)</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rsidP="00DB559B">
            <w:pPr>
              <w:jc w:val="right"/>
            </w:pPr>
            <w:r>
              <w:t>(1.046)</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The RRC had been anticipated to be at full operation for a part of 2016-17, it was not and the change in the Capital Financing Requirement reflects this.</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2</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The CFR is an aggregation of historic and cumulative capital expenditure which has yet been paid for by either revenue or capital resources</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Capital Financing Requirement as at 31 March (£M)*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78.699</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52.070</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The RRC had been anticipated to be at full operation for a part of 2016-17, it was not and the change in CFR reflects this.</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3</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The ‘net borrowing’ position represents the net of the Authority’s gross external borrowing and investments sums held</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Net Borrowing requirement:</w:t>
            </w:r>
          </w:p>
          <w:p w:rsidR="00CE4C33" w:rsidRDefault="00CE4C33">
            <w:pPr>
              <w:rPr>
                <w:b/>
              </w:rPr>
            </w:pPr>
            <w:r>
              <w:rPr>
                <w:b/>
              </w:rPr>
              <w:t>External borrowing (£M)</w:t>
            </w:r>
          </w:p>
          <w:p w:rsidR="00CE4C33" w:rsidRDefault="00CE4C33">
            <w:pPr>
              <w:rPr>
                <w:b/>
              </w:rPr>
            </w:pPr>
            <w:r>
              <w:rPr>
                <w:b/>
              </w:rPr>
              <w:t>Investments held (£M)</w:t>
            </w:r>
          </w:p>
          <w:p w:rsidR="00CE4C33" w:rsidRDefault="00CE4C33">
            <w:pPr>
              <w:rPr>
                <w:b/>
              </w:rPr>
            </w:pPr>
            <w:r>
              <w:rPr>
                <w:b/>
              </w:rPr>
              <w:t>Net requirement (£M)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p>
          <w:p w:rsidR="00CE4C33" w:rsidRPr="00A556E8" w:rsidRDefault="00CE4C33" w:rsidP="00B0183D">
            <w:pPr>
              <w:jc w:val="right"/>
            </w:pPr>
            <w:r w:rsidRPr="00A556E8">
              <w:t>18.968</w:t>
            </w:r>
          </w:p>
          <w:p w:rsidR="00CE4C33" w:rsidRPr="00A556E8" w:rsidRDefault="00CE4C33" w:rsidP="00B0183D">
            <w:pPr>
              <w:jc w:val="right"/>
            </w:pPr>
          </w:p>
          <w:p w:rsidR="00CE4C33" w:rsidRPr="00A556E8" w:rsidRDefault="00CE4C33" w:rsidP="00B0183D">
            <w:pPr>
              <w:jc w:val="right"/>
            </w:pPr>
            <w:r w:rsidRPr="00A556E8">
              <w:t>(3.397)</w:t>
            </w:r>
          </w:p>
          <w:p w:rsidR="00CE4C33" w:rsidRPr="00A556E8" w:rsidRDefault="00CE4C33" w:rsidP="00B0183D">
            <w:pPr>
              <w:jc w:val="right"/>
            </w:pPr>
          </w:p>
          <w:p w:rsidR="00CE4C33" w:rsidRPr="00A556E8" w:rsidRDefault="00CE4C33" w:rsidP="00B0183D">
            <w:pPr>
              <w:jc w:val="right"/>
              <w:rPr>
                <w:b/>
              </w:rPr>
            </w:pPr>
            <w:r w:rsidRPr="00A556E8">
              <w:rPr>
                <w:b/>
              </w:rPr>
              <w:t>15.557</w:t>
            </w:r>
          </w:p>
          <w:p w:rsidR="00CE4C33" w:rsidRPr="00A556E8" w:rsidRDefault="00CE4C33" w:rsidP="00B0183D">
            <w:pPr>
              <w:jc w:val="right"/>
            </w:pP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p>
          <w:p w:rsidR="00CE4C33" w:rsidRDefault="00CE4C33">
            <w:pPr>
              <w:jc w:val="right"/>
            </w:pPr>
            <w:r>
              <w:t>15.926</w:t>
            </w:r>
          </w:p>
          <w:p w:rsidR="00CE4C33" w:rsidRDefault="00CE4C33">
            <w:pPr>
              <w:jc w:val="right"/>
            </w:pPr>
          </w:p>
          <w:p w:rsidR="00CE4C33" w:rsidRDefault="00CE4C33">
            <w:pPr>
              <w:jc w:val="right"/>
            </w:pPr>
            <w:r>
              <w:t>(12.525)</w:t>
            </w:r>
          </w:p>
          <w:p w:rsidR="00CE4C33" w:rsidRDefault="00CE4C33">
            <w:pPr>
              <w:jc w:val="right"/>
            </w:pPr>
          </w:p>
          <w:p w:rsidR="00CE4C33" w:rsidRDefault="00CE4C33" w:rsidP="00DB559B">
            <w:pPr>
              <w:jc w:val="right"/>
              <w:rPr>
                <w:b/>
              </w:rPr>
            </w:pPr>
            <w:r>
              <w:rPr>
                <w:b/>
              </w:rPr>
              <w:t>(3.401)</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The RRC had been anticipated to be at full operation for a part of 2016-17, it was not and the change in the net borrowing requirement reflects this – the Investments held reflect greater certainty over when the GF will be used</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4</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Identifies the impact and trend that the revenue costs of capital financing decisions will have on the General Fund budget over time</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Ratio of financing cost to net revenue stream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3.29%</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rsidP="009F1336">
            <w:pPr>
              <w:jc w:val="right"/>
            </w:pPr>
            <w:r>
              <w:t>2.50%</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Reduced cost ratio as borrowing did not increase reflecting RRC issues.</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5</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 xml:space="preserve">The Authority’s budget strategy has been to support capital spending from reserves set </w:t>
            </w:r>
            <w:r>
              <w:lastRenderedPageBreak/>
              <w:t>aside, in future to fund the capital programme additional borrowing is likely to be required</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lastRenderedPageBreak/>
              <w:t xml:space="preserve">Incremental impact of capital investment decisions </w:t>
            </w:r>
            <w:r>
              <w:rPr>
                <w:b/>
              </w:rPr>
              <w:lastRenderedPageBreak/>
              <w:t>(increase in Levy %)</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0</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0</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No additional borrowing planned</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lastRenderedPageBreak/>
              <w:t>6</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This represents an absolute limit on borrowing at any one point in time. It reflects the level of external debt which, while not desired, could be afforded in the short term but which is not sustainable in the longer term</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Authorised limit for External Debt (£M)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24.549</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21.505</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Reduced in line with RRC not coming on line, the Authority remained within the limit</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7</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This is the limit beyond which external debt is not normally expected to exceed</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Operational Limit for External Debt (£M)</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20.909</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17.865</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Reduced in line with RRC not coming on line, the Authority remained within the limit</w:t>
            </w:r>
          </w:p>
        </w:tc>
      </w:tr>
      <w:tr w:rsidR="00CE4C33" w:rsidTr="00CE4C33">
        <w:tc>
          <w:tcPr>
            <w:tcW w:w="563" w:type="dxa"/>
            <w:vMerge w:val="restart"/>
            <w:tcBorders>
              <w:top w:val="single" w:sz="4" w:space="0" w:color="auto"/>
              <w:left w:val="single" w:sz="4" w:space="0" w:color="auto"/>
              <w:bottom w:val="single" w:sz="4" w:space="0" w:color="auto"/>
              <w:right w:val="single" w:sz="4" w:space="0" w:color="auto"/>
            </w:tcBorders>
            <w:hideMark/>
          </w:tcPr>
          <w:p w:rsidR="00CE4C33" w:rsidRDefault="00CE4C33">
            <w:r>
              <w:t>8</w:t>
            </w:r>
          </w:p>
        </w:tc>
        <w:tc>
          <w:tcPr>
            <w:tcW w:w="2011" w:type="dxa"/>
            <w:vMerge w:val="restart"/>
            <w:tcBorders>
              <w:top w:val="single" w:sz="4" w:space="0" w:color="auto"/>
              <w:left w:val="single" w:sz="4" w:space="0" w:color="auto"/>
              <w:bottom w:val="single" w:sz="4" w:space="0" w:color="auto"/>
              <w:right w:val="single" w:sz="4" w:space="0" w:color="auto"/>
            </w:tcBorders>
            <w:hideMark/>
          </w:tcPr>
          <w:p w:rsidR="00CE4C33" w:rsidRDefault="00CE4C33">
            <w:r>
              <w:t>These limits seek to ensure that the authority does not expose itself to an inappropriate level of interest rate risk, and has a suitable proportion of debt</w:t>
            </w:r>
          </w:p>
        </w:tc>
        <w:tc>
          <w:tcPr>
            <w:tcW w:w="1713" w:type="dxa"/>
            <w:tcBorders>
              <w:top w:val="single" w:sz="4" w:space="0" w:color="auto"/>
              <w:left w:val="single" w:sz="4" w:space="0" w:color="auto"/>
              <w:bottom w:val="single" w:sz="4" w:space="0" w:color="auto"/>
              <w:right w:val="single" w:sz="4" w:space="0" w:color="auto"/>
            </w:tcBorders>
          </w:tcPr>
          <w:p w:rsidR="00CE4C33" w:rsidRDefault="00CE4C33">
            <w:pPr>
              <w:rPr>
                <w:b/>
              </w:rPr>
            </w:pPr>
            <w:r>
              <w:rPr>
                <w:b/>
              </w:rPr>
              <w:t>Upper limit for Fixed Interest Rate Exposure</w:t>
            </w:r>
          </w:p>
          <w:p w:rsidR="00CE4C33" w:rsidRDefault="00CE4C33">
            <w:pPr>
              <w:rPr>
                <w:b/>
              </w:rPr>
            </w:pP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100%</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100%</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No change</w:t>
            </w:r>
          </w:p>
        </w:tc>
      </w:tr>
      <w:tr w:rsidR="00CE4C33" w:rsidTr="00CE4C33">
        <w:tc>
          <w:tcPr>
            <w:tcW w:w="563" w:type="dxa"/>
            <w:vMerge/>
            <w:tcBorders>
              <w:top w:val="single" w:sz="4" w:space="0" w:color="auto"/>
              <w:left w:val="single" w:sz="4" w:space="0" w:color="auto"/>
              <w:bottom w:val="single" w:sz="4" w:space="0" w:color="auto"/>
              <w:right w:val="single" w:sz="4" w:space="0" w:color="auto"/>
            </w:tcBorders>
            <w:vAlign w:val="center"/>
            <w:hideMark/>
          </w:tcPr>
          <w:p w:rsidR="00CE4C33" w:rsidRDefault="00CE4C33"/>
        </w:tc>
        <w:tc>
          <w:tcPr>
            <w:tcW w:w="2011" w:type="dxa"/>
            <w:vMerge/>
            <w:tcBorders>
              <w:top w:val="single" w:sz="4" w:space="0" w:color="auto"/>
              <w:left w:val="single" w:sz="4" w:space="0" w:color="auto"/>
              <w:bottom w:val="single" w:sz="4" w:space="0" w:color="auto"/>
              <w:right w:val="single" w:sz="4" w:space="0" w:color="auto"/>
            </w:tcBorders>
            <w:vAlign w:val="center"/>
            <w:hideMark/>
          </w:tcPr>
          <w:p w:rsidR="00CE4C33" w:rsidRDefault="00CE4C33"/>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Upper limit for Variable Interest Rate Exposure</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50%</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50%</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No change</w:t>
            </w:r>
          </w:p>
        </w:tc>
      </w:tr>
      <w:tr w:rsidR="00CE4C33" w:rsidTr="00CE4C33">
        <w:tc>
          <w:tcPr>
            <w:tcW w:w="563" w:type="dxa"/>
            <w:tcBorders>
              <w:top w:val="single" w:sz="4" w:space="0" w:color="auto"/>
              <w:left w:val="single" w:sz="4" w:space="0" w:color="auto"/>
              <w:bottom w:val="single" w:sz="4" w:space="0" w:color="auto"/>
              <w:right w:val="single" w:sz="4" w:space="0" w:color="auto"/>
            </w:tcBorders>
            <w:hideMark/>
          </w:tcPr>
          <w:p w:rsidR="00CE4C33" w:rsidRDefault="00CE4C33">
            <w:r>
              <w:t>9</w:t>
            </w:r>
          </w:p>
        </w:tc>
        <w:tc>
          <w:tcPr>
            <w:tcW w:w="2011" w:type="dxa"/>
            <w:tcBorders>
              <w:top w:val="single" w:sz="4" w:space="0" w:color="auto"/>
              <w:left w:val="single" w:sz="4" w:space="0" w:color="auto"/>
              <w:bottom w:val="single" w:sz="4" w:space="0" w:color="auto"/>
              <w:right w:val="single" w:sz="4" w:space="0" w:color="auto"/>
            </w:tcBorders>
            <w:hideMark/>
          </w:tcPr>
          <w:p w:rsidR="00CE4C33" w:rsidRDefault="00CE4C33">
            <w:r>
              <w:t>This limit seeks to ensure liquidity and reduce the likelihood of any inherent or associated risk</w:t>
            </w:r>
          </w:p>
        </w:tc>
        <w:tc>
          <w:tcPr>
            <w:tcW w:w="1713" w:type="dxa"/>
            <w:tcBorders>
              <w:top w:val="single" w:sz="4" w:space="0" w:color="auto"/>
              <w:left w:val="single" w:sz="4" w:space="0" w:color="auto"/>
              <w:bottom w:val="single" w:sz="4" w:space="0" w:color="auto"/>
              <w:right w:val="single" w:sz="4" w:space="0" w:color="auto"/>
            </w:tcBorders>
            <w:hideMark/>
          </w:tcPr>
          <w:p w:rsidR="00CE4C33" w:rsidRDefault="00CE4C33">
            <w:pPr>
              <w:rPr>
                <w:b/>
              </w:rPr>
            </w:pPr>
            <w:r>
              <w:rPr>
                <w:b/>
              </w:rPr>
              <w:t>Upper Limit for Sums Invested over 364 days</w:t>
            </w:r>
          </w:p>
        </w:tc>
        <w:tc>
          <w:tcPr>
            <w:tcW w:w="1491" w:type="dxa"/>
            <w:tcBorders>
              <w:top w:val="single" w:sz="4" w:space="0" w:color="auto"/>
              <w:left w:val="single" w:sz="4" w:space="0" w:color="auto"/>
              <w:bottom w:val="single" w:sz="4" w:space="0" w:color="auto"/>
              <w:right w:val="single" w:sz="4" w:space="0" w:color="auto"/>
            </w:tcBorders>
          </w:tcPr>
          <w:p w:rsidR="00CE4C33" w:rsidRPr="00A556E8" w:rsidRDefault="00CE4C33" w:rsidP="00B0183D">
            <w:pPr>
              <w:jc w:val="right"/>
            </w:pPr>
          </w:p>
          <w:p w:rsidR="00CE4C33" w:rsidRPr="00A556E8" w:rsidRDefault="00CE4C33" w:rsidP="00B0183D">
            <w:pPr>
              <w:jc w:val="right"/>
            </w:pPr>
            <w:r w:rsidRPr="00A556E8">
              <w:t>60%</w:t>
            </w:r>
          </w:p>
        </w:tc>
        <w:tc>
          <w:tcPr>
            <w:tcW w:w="1560" w:type="dxa"/>
            <w:tcBorders>
              <w:top w:val="single" w:sz="4" w:space="0" w:color="auto"/>
              <w:left w:val="single" w:sz="4" w:space="0" w:color="auto"/>
              <w:bottom w:val="single" w:sz="4" w:space="0" w:color="auto"/>
              <w:right w:val="single" w:sz="4" w:space="0" w:color="auto"/>
            </w:tcBorders>
          </w:tcPr>
          <w:p w:rsidR="00CE4C33" w:rsidRDefault="00CE4C33">
            <w:pPr>
              <w:jc w:val="right"/>
            </w:pPr>
          </w:p>
          <w:p w:rsidR="00CE4C33" w:rsidRDefault="00CE4C33">
            <w:pPr>
              <w:jc w:val="right"/>
            </w:pPr>
            <w:r>
              <w:t>60%</w:t>
            </w:r>
          </w:p>
        </w:tc>
        <w:tc>
          <w:tcPr>
            <w:tcW w:w="1904" w:type="dxa"/>
            <w:tcBorders>
              <w:top w:val="single" w:sz="4" w:space="0" w:color="auto"/>
              <w:left w:val="single" w:sz="4" w:space="0" w:color="auto"/>
              <w:bottom w:val="single" w:sz="4" w:space="0" w:color="auto"/>
              <w:right w:val="single" w:sz="4" w:space="0" w:color="auto"/>
            </w:tcBorders>
          </w:tcPr>
          <w:p w:rsidR="00CE4C33" w:rsidRDefault="00CE4C33" w:rsidP="00CE4C33">
            <w:pPr>
              <w:rPr>
                <w:i/>
                <w:sz w:val="18"/>
                <w:szCs w:val="18"/>
              </w:rPr>
            </w:pPr>
          </w:p>
          <w:p w:rsidR="00CE4C33" w:rsidRPr="00CE4C33" w:rsidRDefault="00CE4C33" w:rsidP="00CE4C33">
            <w:pPr>
              <w:rPr>
                <w:i/>
                <w:sz w:val="18"/>
                <w:szCs w:val="18"/>
              </w:rPr>
            </w:pPr>
            <w:r>
              <w:rPr>
                <w:i/>
                <w:sz w:val="18"/>
                <w:szCs w:val="18"/>
              </w:rPr>
              <w:t>No change</w:t>
            </w:r>
          </w:p>
        </w:tc>
      </w:tr>
    </w:tbl>
    <w:p w:rsidR="000259E6" w:rsidRDefault="000259E6" w:rsidP="000259E6">
      <w:pPr>
        <w:ind w:left="720" w:hanging="720"/>
      </w:pPr>
    </w:p>
    <w:p w:rsidR="000259E6" w:rsidRDefault="000259E6" w:rsidP="000259E6">
      <w:pPr>
        <w:ind w:left="720" w:hanging="720"/>
        <w:rPr>
          <w:i/>
          <w:sz w:val="18"/>
          <w:szCs w:val="18"/>
        </w:rPr>
      </w:pPr>
      <w:r>
        <w:rPr>
          <w:i/>
          <w:sz w:val="18"/>
          <w:szCs w:val="18"/>
        </w:rPr>
        <w:t xml:space="preserve">* </w:t>
      </w:r>
      <w:r>
        <w:rPr>
          <w:i/>
          <w:sz w:val="18"/>
          <w:szCs w:val="18"/>
        </w:rPr>
        <w:tab/>
        <w:t xml:space="preserve">CFR calculation includes assumptions </w:t>
      </w:r>
      <w:r w:rsidR="009F63E0">
        <w:rPr>
          <w:i/>
          <w:sz w:val="18"/>
          <w:szCs w:val="18"/>
        </w:rPr>
        <w:t xml:space="preserve">at revised estimate </w:t>
      </w:r>
      <w:r>
        <w:rPr>
          <w:i/>
          <w:sz w:val="18"/>
          <w:szCs w:val="18"/>
        </w:rPr>
        <w:t>about the treatment of assets under IFRIC 12 as part of the Resource Recovery Contract (RRC), there are offsetting lease liabilities which will also feature in the authority’s balance sheets in future years, actual is amended for discounting of the lease liability on closed landfill sites which was not completed at estimate.</w:t>
      </w:r>
      <w:r w:rsidR="009F63E0">
        <w:rPr>
          <w:i/>
          <w:sz w:val="18"/>
          <w:szCs w:val="18"/>
        </w:rPr>
        <w:t xml:space="preserve"> The assets that make up the RRC were not brought into operation during 2016-17 and therefore the revised estimate differs from the outturn.</w:t>
      </w:r>
    </w:p>
    <w:p w:rsidR="00FD10E5" w:rsidRDefault="00FD10E5"/>
    <w:sectPr w:rsidR="00FD10E5" w:rsidSect="004B76F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D1" w:rsidRDefault="00F477D1" w:rsidP="00F477D1">
      <w:pPr>
        <w:spacing w:after="0" w:line="240" w:lineRule="auto"/>
      </w:pPr>
      <w:r>
        <w:separator/>
      </w:r>
    </w:p>
  </w:endnote>
  <w:endnote w:type="continuationSeparator" w:id="0">
    <w:p w:rsidR="00F477D1" w:rsidRDefault="00F477D1" w:rsidP="00F4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D1" w:rsidRDefault="00F477D1" w:rsidP="00F477D1">
      <w:pPr>
        <w:spacing w:after="0" w:line="240" w:lineRule="auto"/>
      </w:pPr>
      <w:r>
        <w:separator/>
      </w:r>
    </w:p>
  </w:footnote>
  <w:footnote w:type="continuationSeparator" w:id="0">
    <w:p w:rsidR="00F477D1" w:rsidRDefault="00F477D1" w:rsidP="00F47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D1" w:rsidRPr="004B76FF" w:rsidRDefault="00F477D1">
    <w:pPr>
      <w:pStyle w:val="Header"/>
      <w:rPr>
        <w:rFonts w:ascii="Arial" w:hAnsi="Arial" w:cs="Arial"/>
        <w:b/>
        <w:sz w:val="56"/>
        <w:szCs w:val="56"/>
      </w:rPr>
    </w:pPr>
    <w:r>
      <w:tab/>
    </w:r>
    <w:r>
      <w:tab/>
    </w:r>
    <w:r w:rsidR="00044D0E" w:rsidRPr="00044D0E">
      <w:rPr>
        <w:rFonts w:ascii="Arial" w:hAnsi="Arial" w:cs="Arial"/>
        <w:b/>
        <w:sz w:val="52"/>
        <w:szCs w:val="56"/>
      </w:rPr>
      <w:t>13</w:t>
    </w:r>
  </w:p>
  <w:p w:rsidR="004B76FF" w:rsidRPr="004B76FF" w:rsidRDefault="004B76FF" w:rsidP="004B76FF">
    <w:pPr>
      <w:pStyle w:val="Header"/>
      <w:jc w:val="right"/>
      <w:rPr>
        <w:rFonts w:ascii="Arial" w:hAnsi="Arial" w:cs="Arial"/>
        <w:b/>
        <w:sz w:val="24"/>
        <w:szCs w:val="24"/>
      </w:rPr>
    </w:pPr>
    <w:r w:rsidRPr="004B76FF">
      <w:rPr>
        <w:rFonts w:ascii="Arial" w:hAnsi="Arial" w:cs="Arial"/>
        <w:b/>
        <w:sz w:val="24"/>
        <w:szCs w:val="24"/>
      </w:rPr>
      <w:t>A</w:t>
    </w:r>
    <w:r w:rsidR="00560E69">
      <w:rPr>
        <w:rFonts w:ascii="Arial" w:hAnsi="Arial" w:cs="Arial"/>
        <w:b/>
        <w:sz w:val="24"/>
        <w:szCs w:val="24"/>
      </w:rPr>
      <w:t>ppendix</w:t>
    </w:r>
    <w:r w:rsidRPr="004B76FF">
      <w:rPr>
        <w:rFonts w:ascii="Arial" w:hAnsi="Arial" w:cs="Arial"/>
        <w:b/>
        <w:sz w:val="24"/>
        <w:szCs w:val="24"/>
      </w:rPr>
      <w:t xml:space="preserve"> </w:t>
    </w:r>
    <w:r w:rsidR="00F82ECA">
      <w:rPr>
        <w:rFonts w:ascii="Arial" w:hAnsi="Arial" w:cs="Arial"/>
        <w:b/>
        <w:sz w:val="24"/>
        <w:szCs w:val="24"/>
      </w:rPr>
      <w:t>2</w:t>
    </w:r>
  </w:p>
  <w:p w:rsidR="00F477D1" w:rsidRDefault="00F47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D5"/>
    <w:rsid w:val="000259E6"/>
    <w:rsid w:val="00044D0E"/>
    <w:rsid w:val="001F4D7A"/>
    <w:rsid w:val="002454D5"/>
    <w:rsid w:val="004B76FF"/>
    <w:rsid w:val="00560E69"/>
    <w:rsid w:val="00612C27"/>
    <w:rsid w:val="0064563C"/>
    <w:rsid w:val="00655887"/>
    <w:rsid w:val="006A6437"/>
    <w:rsid w:val="006F0076"/>
    <w:rsid w:val="006F63D0"/>
    <w:rsid w:val="00751EC7"/>
    <w:rsid w:val="007653B7"/>
    <w:rsid w:val="008C7252"/>
    <w:rsid w:val="009F1336"/>
    <w:rsid w:val="009F63E0"/>
    <w:rsid w:val="00AF145F"/>
    <w:rsid w:val="00CE4C33"/>
    <w:rsid w:val="00DB559B"/>
    <w:rsid w:val="00F477D1"/>
    <w:rsid w:val="00F82ECA"/>
    <w:rsid w:val="00FD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4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7D1"/>
  </w:style>
  <w:style w:type="paragraph" w:styleId="Footer">
    <w:name w:val="footer"/>
    <w:basedOn w:val="Normal"/>
    <w:link w:val="FooterChar"/>
    <w:uiPriority w:val="99"/>
    <w:unhideWhenUsed/>
    <w:rsid w:val="00F47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7D1"/>
  </w:style>
  <w:style w:type="paragraph" w:styleId="BalloonText">
    <w:name w:val="Balloon Text"/>
    <w:basedOn w:val="Normal"/>
    <w:link w:val="BalloonTextChar"/>
    <w:uiPriority w:val="99"/>
    <w:semiHidden/>
    <w:unhideWhenUsed/>
    <w:rsid w:val="00F4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4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7D1"/>
  </w:style>
  <w:style w:type="paragraph" w:styleId="Footer">
    <w:name w:val="footer"/>
    <w:basedOn w:val="Normal"/>
    <w:link w:val="FooterChar"/>
    <w:uiPriority w:val="99"/>
    <w:unhideWhenUsed/>
    <w:rsid w:val="00F47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7D1"/>
  </w:style>
  <w:style w:type="paragraph" w:styleId="BalloonText">
    <w:name w:val="Balloon Text"/>
    <w:basedOn w:val="Normal"/>
    <w:link w:val="BalloonTextChar"/>
    <w:uiPriority w:val="99"/>
    <w:semiHidden/>
    <w:unhideWhenUsed/>
    <w:rsid w:val="00F4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80380">
      <w:bodyDiv w:val="1"/>
      <w:marLeft w:val="0"/>
      <w:marRight w:val="0"/>
      <w:marTop w:val="0"/>
      <w:marBottom w:val="0"/>
      <w:divBdr>
        <w:top w:val="none" w:sz="0" w:space="0" w:color="auto"/>
        <w:left w:val="none" w:sz="0" w:space="0" w:color="auto"/>
        <w:bottom w:val="none" w:sz="0" w:space="0" w:color="auto"/>
        <w:right w:val="none" w:sz="0" w:space="0" w:color="auto"/>
      </w:divBdr>
    </w:div>
    <w:div w:id="11286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3083</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Peter</dc:creator>
  <cp:lastModifiedBy>Looker, Abigail</cp:lastModifiedBy>
  <cp:revision>3</cp:revision>
  <cp:lastPrinted>2017-06-06T09:44:00Z</cp:lastPrinted>
  <dcterms:created xsi:type="dcterms:W3CDTF">2017-05-31T15:00:00Z</dcterms:created>
  <dcterms:modified xsi:type="dcterms:W3CDTF">2017-06-06T09:44:00Z</dcterms:modified>
</cp:coreProperties>
</file>