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7E0A" w:rsidRDefault="00016F38" w:rsidP="004701E7">
      <w:pPr>
        <w:pStyle w:val="Title"/>
      </w:pPr>
      <w:r>
        <w:fldChar w:fldCharType="begin"/>
      </w:r>
      <w:r>
        <w:instrText xml:space="preserve"> DOCPROPERTY  Title \* MERGEFORMAT </w:instrText>
      </w:r>
      <w:r>
        <w:fldChar w:fldCharType="separate"/>
      </w:r>
      <w:r w:rsidR="008000A0">
        <w:t>Scheme of Delegation and Procedural Rules</w:t>
      </w:r>
      <w:r>
        <w:fldChar w:fldCharType="end"/>
      </w:r>
    </w:p>
    <w:p w:rsidR="004A7E0A" w:rsidRDefault="00E86B02" w:rsidP="004701E7">
      <w:pPr>
        <w:pStyle w:val="Reference"/>
      </w:pPr>
      <w:r>
        <w:fldChar w:fldCharType="begin"/>
      </w:r>
      <w:r>
        <w:instrText xml:space="preserve"> DOCPROPERTY  Reference \* MERGEFORMAT </w:instrText>
      </w:r>
      <w:r>
        <w:fldChar w:fldCharType="separate"/>
      </w:r>
      <w:r w:rsidR="008000A0">
        <w:t>WDA/</w:t>
      </w:r>
      <w:r w:rsidR="00023F92">
        <w:t>16</w:t>
      </w:r>
      <w:r w:rsidR="008000A0">
        <w:t>/1</w:t>
      </w:r>
      <w:r>
        <w:fldChar w:fldCharType="end"/>
      </w:r>
      <w:r w:rsidR="00C6586F">
        <w:t>7</w:t>
      </w:r>
    </w:p>
    <w:p w:rsidR="004A7E0A" w:rsidRDefault="004A7E0A"/>
    <w:p w:rsidR="004A7E0A" w:rsidRDefault="004A7E0A"/>
    <w:p w:rsidR="004A7E0A" w:rsidRDefault="004A7E0A"/>
    <w:p w:rsidR="004A7E0A" w:rsidRDefault="004A7E0A" w:rsidP="00E346F9">
      <w:pPr>
        <w:pStyle w:val="Headingnonum"/>
      </w:pPr>
      <w:r w:rsidRPr="004A7E0A">
        <w:t>Recommendation</w:t>
      </w:r>
    </w:p>
    <w:p w:rsidR="00311655" w:rsidRDefault="00311655" w:rsidP="00311655"/>
    <w:p w:rsidR="00AB3861" w:rsidRDefault="006907EF" w:rsidP="00BA5A09">
      <w:pPr>
        <w:ind w:left="510"/>
      </w:pPr>
      <w:r>
        <w:t>That</w:t>
      </w:r>
      <w:r w:rsidR="00BA5A09">
        <w:t xml:space="preserve"> </w:t>
      </w:r>
      <w:r>
        <w:t>the Scheme of Delegation be adopted for the 201</w:t>
      </w:r>
      <w:r w:rsidR="00C6586F">
        <w:t>7</w:t>
      </w:r>
      <w:r>
        <w:t>/1</w:t>
      </w:r>
      <w:r w:rsidR="00C6586F">
        <w:t>8</w:t>
      </w:r>
      <w:r>
        <w:t xml:space="preserve"> </w:t>
      </w:r>
      <w:r w:rsidR="00BA5A09">
        <w:t>Municipal Year.</w:t>
      </w:r>
    </w:p>
    <w:p w:rsidR="00311655" w:rsidRPr="00311655" w:rsidRDefault="00311655" w:rsidP="00311655"/>
    <w:p w:rsidR="004A7E0A" w:rsidRDefault="004A7E0A"/>
    <w:p w:rsidR="004A7E0A" w:rsidRDefault="00493E79">
      <w:r>
        <w:br w:type="page"/>
      </w:r>
    </w:p>
    <w:p w:rsidR="004A7E0A" w:rsidRDefault="004A7E0A"/>
    <w:p w:rsidR="004A7E0A" w:rsidRDefault="004A7E0A"/>
    <w:p w:rsidR="004A7E0A" w:rsidRDefault="004A7E0A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DA3FF8" w:rsidRDefault="00DA3FF8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4A7E0A" w:rsidRDefault="004A7E0A" w:rsidP="00283990">
      <w:pPr>
        <w:jc w:val="center"/>
      </w:pPr>
      <w:r>
        <w:t>THIS PAGE INTENTIONALLY BLANK</w:t>
      </w:r>
    </w:p>
    <w:p w:rsidR="005B47A2" w:rsidRPr="005B47A2" w:rsidRDefault="004A7E0A" w:rsidP="002106DF">
      <w:pPr>
        <w:pStyle w:val="Headingnonum"/>
      </w:pPr>
      <w:r>
        <w:br w:type="page"/>
      </w:r>
    </w:p>
    <w:p w:rsidR="00016F38" w:rsidRDefault="00E86B02" w:rsidP="00016F38">
      <w:pPr>
        <w:pStyle w:val="Title"/>
      </w:pPr>
      <w:r>
        <w:lastRenderedPageBreak/>
        <w:fldChar w:fldCharType="begin"/>
      </w:r>
      <w:r>
        <w:instrText xml:space="preserve"> DOCPROPERTY  Title \* MERGEFORMAT </w:instrText>
      </w:r>
      <w:r>
        <w:fldChar w:fldCharType="separate"/>
      </w:r>
      <w:r w:rsidR="008000A0">
        <w:t>Scheme of Delegation and Procedural Rules</w:t>
      </w:r>
      <w:r>
        <w:fldChar w:fldCharType="end"/>
      </w:r>
    </w:p>
    <w:p w:rsidR="00016F38" w:rsidRDefault="00E86B02" w:rsidP="00016F38">
      <w:pPr>
        <w:pStyle w:val="Reference"/>
      </w:pPr>
      <w:r>
        <w:fldChar w:fldCharType="begin"/>
      </w:r>
      <w:r>
        <w:instrText xml:space="preserve"> DOCPROPERTY  Reference \* MERGEFORMAT </w:instrText>
      </w:r>
      <w:r>
        <w:fldChar w:fldCharType="separate"/>
      </w:r>
      <w:r w:rsidR="008000A0">
        <w:t>WDA/</w:t>
      </w:r>
      <w:r w:rsidR="00023F92">
        <w:t>16</w:t>
      </w:r>
      <w:r w:rsidR="008000A0">
        <w:t>/1</w:t>
      </w:r>
      <w:r>
        <w:fldChar w:fldCharType="end"/>
      </w:r>
      <w:r w:rsidR="00C6586F">
        <w:t>7</w:t>
      </w:r>
    </w:p>
    <w:p w:rsidR="00681FBD" w:rsidRDefault="00681FBD"/>
    <w:p w:rsidR="00681FBD" w:rsidRPr="008D7199" w:rsidRDefault="00A90EA7" w:rsidP="005B47A2">
      <w:pPr>
        <w:pStyle w:val="Headingnonum"/>
        <w:jc w:val="center"/>
      </w:pPr>
      <w:r w:rsidRPr="008D7199">
        <w:t xml:space="preserve">Report of </w:t>
      </w:r>
      <w:r w:rsidR="006876D8">
        <w:t xml:space="preserve">the </w:t>
      </w:r>
      <w:r w:rsidR="00E86B02">
        <w:fldChar w:fldCharType="begin"/>
      </w:r>
      <w:r w:rsidR="00E86B02">
        <w:instrText xml:space="preserve"> DOCPROPERTY  ReportOriginator \* MERGEFORMAT </w:instrText>
      </w:r>
      <w:r w:rsidR="00E86B02">
        <w:fldChar w:fldCharType="separate"/>
      </w:r>
      <w:r w:rsidR="008000A0">
        <w:t>Chief Executive</w:t>
      </w:r>
      <w:r w:rsidR="00E86B02">
        <w:fldChar w:fldCharType="end"/>
      </w:r>
    </w:p>
    <w:p w:rsidR="00681FBD" w:rsidRDefault="00681FBD"/>
    <w:p w:rsidR="004701E7" w:rsidRDefault="004701E7" w:rsidP="00E346F9">
      <w:pPr>
        <w:pStyle w:val="Heading1"/>
      </w:pPr>
      <w:r>
        <w:t>Purpose of the Report</w:t>
      </w:r>
    </w:p>
    <w:p w:rsidR="006907EF" w:rsidRPr="008D7199" w:rsidRDefault="006907EF" w:rsidP="006907EF">
      <w:pPr>
        <w:pStyle w:val="Bodytextnumbered"/>
      </w:pPr>
      <w:r w:rsidRPr="00A14C25">
        <w:t xml:space="preserve">To </w:t>
      </w:r>
      <w:r w:rsidR="00BA5A09">
        <w:t>request that</w:t>
      </w:r>
      <w:r w:rsidRPr="00A14C25">
        <w:t xml:space="preserve"> Members</w:t>
      </w:r>
      <w:r w:rsidR="00BA5A09">
        <w:t xml:space="preserve"> adopt t</w:t>
      </w:r>
      <w:r w:rsidR="00B7720B">
        <w:t xml:space="preserve">he </w:t>
      </w:r>
      <w:r>
        <w:t>S</w:t>
      </w:r>
      <w:r w:rsidRPr="00A14C25">
        <w:t>cheme of Delegation</w:t>
      </w:r>
      <w:r w:rsidR="00CA4CE9">
        <w:t xml:space="preserve"> for the </w:t>
      </w:r>
      <w:r w:rsidR="00724DF6">
        <w:t>201</w:t>
      </w:r>
      <w:r w:rsidR="00C6586F">
        <w:t>7</w:t>
      </w:r>
      <w:r w:rsidR="00724DF6">
        <w:t>/1</w:t>
      </w:r>
      <w:r w:rsidR="00C6586F">
        <w:t>8</w:t>
      </w:r>
      <w:r w:rsidR="00CA4CE9">
        <w:t xml:space="preserve"> Municipal Year</w:t>
      </w:r>
      <w:r>
        <w:t>.</w:t>
      </w:r>
    </w:p>
    <w:p w:rsidR="004701E7" w:rsidRDefault="004701E7" w:rsidP="00E346F9">
      <w:pPr>
        <w:pStyle w:val="Heading1"/>
      </w:pPr>
      <w:r>
        <w:t>Background</w:t>
      </w:r>
    </w:p>
    <w:p w:rsidR="006907EF" w:rsidRDefault="006907EF" w:rsidP="00475D7C">
      <w:pPr>
        <w:pStyle w:val="Bodytextnumbered"/>
      </w:pPr>
      <w:r w:rsidRPr="006637CC">
        <w:t xml:space="preserve">The </w:t>
      </w:r>
      <w:r w:rsidR="00534082">
        <w:t>C</w:t>
      </w:r>
      <w:r>
        <w:t xml:space="preserve">onstitution </w:t>
      </w:r>
      <w:r w:rsidR="00EB3EA5">
        <w:t>comprises</w:t>
      </w:r>
      <w:r>
        <w:t xml:space="preserve"> a </w:t>
      </w:r>
      <w:r w:rsidR="00D343B9">
        <w:t>set of documents which define the Authority’s governance arrangements.</w:t>
      </w:r>
      <w:r w:rsidR="00311788">
        <w:t xml:space="preserve"> This includes:</w:t>
      </w:r>
    </w:p>
    <w:p w:rsidR="00D343B9" w:rsidRDefault="00D343B9" w:rsidP="00534082">
      <w:pPr>
        <w:pStyle w:val="Bodytextnumbered"/>
        <w:numPr>
          <w:ilvl w:val="0"/>
          <w:numId w:val="28"/>
        </w:numPr>
      </w:pPr>
      <w:r>
        <w:t>Scheme of Delegation</w:t>
      </w:r>
    </w:p>
    <w:p w:rsidR="00534082" w:rsidRDefault="00724DF6" w:rsidP="00534082">
      <w:pPr>
        <w:pStyle w:val="Bodytextnumbered"/>
        <w:numPr>
          <w:ilvl w:val="0"/>
          <w:numId w:val="28"/>
        </w:numPr>
      </w:pPr>
      <w:r>
        <w:t xml:space="preserve">Authority </w:t>
      </w:r>
      <w:r w:rsidR="00534082">
        <w:t>Procedural Rules</w:t>
      </w:r>
    </w:p>
    <w:p w:rsidR="00534082" w:rsidRDefault="00534082" w:rsidP="00534082">
      <w:pPr>
        <w:pStyle w:val="Bodytextnumbered"/>
        <w:numPr>
          <w:ilvl w:val="0"/>
          <w:numId w:val="28"/>
        </w:numPr>
      </w:pPr>
      <w:r>
        <w:t>Financial Procedural Rules</w:t>
      </w:r>
    </w:p>
    <w:p w:rsidR="00534082" w:rsidRDefault="00534082" w:rsidP="00534082">
      <w:pPr>
        <w:pStyle w:val="Bodytextnumbered"/>
        <w:numPr>
          <w:ilvl w:val="0"/>
          <w:numId w:val="28"/>
        </w:numPr>
      </w:pPr>
      <w:r>
        <w:t>Contract Procedural Rules</w:t>
      </w:r>
    </w:p>
    <w:p w:rsidR="00534082" w:rsidRDefault="00534082" w:rsidP="00534082">
      <w:pPr>
        <w:pStyle w:val="Bodytextnumbered"/>
        <w:numPr>
          <w:ilvl w:val="0"/>
          <w:numId w:val="28"/>
        </w:numPr>
      </w:pPr>
      <w:r>
        <w:t>Information</w:t>
      </w:r>
      <w:r w:rsidR="00724DF6">
        <w:t xml:space="preserve"> Procedural</w:t>
      </w:r>
      <w:r>
        <w:t xml:space="preserve"> Rules</w:t>
      </w:r>
    </w:p>
    <w:p w:rsidR="008F5031" w:rsidRDefault="00930B5F" w:rsidP="00BA5A09">
      <w:pPr>
        <w:pStyle w:val="Bodytextnumbered"/>
        <w:numPr>
          <w:ilvl w:val="0"/>
          <w:numId w:val="0"/>
        </w:numPr>
        <w:spacing w:after="0"/>
        <w:ind w:lef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18461B3" wp14:editId="2EA50C56">
                <wp:simplePos x="0" y="0"/>
                <wp:positionH relativeFrom="page">
                  <wp:posOffset>647700</wp:posOffset>
                </wp:positionH>
                <wp:positionV relativeFrom="margin">
                  <wp:posOffset>8700770</wp:posOffset>
                </wp:positionV>
                <wp:extent cx="13729970" cy="561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99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MeetingType"/>
                          <w:p w:rsidR="002F64D1" w:rsidRDefault="002F64D1" w:rsidP="00283990">
                            <w:pPr>
                              <w:pStyle w:val="Headingnonum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MeetingType \* MERGEFORMAT </w:instrText>
                            </w:r>
                            <w:r>
                              <w:fldChar w:fldCharType="separate"/>
                            </w:r>
                            <w:r>
                              <w:t>Merseyside Waste Disposal Authority</w:t>
                            </w:r>
                            <w:r>
                              <w:fldChar w:fldCharType="end"/>
                            </w:r>
                          </w:p>
                          <w:p w:rsidR="002F64D1" w:rsidRDefault="00E86B02" w:rsidP="00283990">
                            <w:pPr>
                              <w:pStyle w:val="Headingnonum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Date \* MERGEFORMAT </w:instrText>
                            </w:r>
                            <w:r>
                              <w:fldChar w:fldCharType="separate"/>
                            </w:r>
                            <w:r w:rsidR="00724DF6">
                              <w:t>2</w:t>
                            </w:r>
                            <w:r w:rsidR="00C6586F">
                              <w:t>3rd</w:t>
                            </w:r>
                            <w:r w:rsidR="00724DF6">
                              <w:t xml:space="preserve"> June 201</w:t>
                            </w:r>
                            <w:r>
                              <w:fldChar w:fldCharType="end"/>
                            </w:r>
                            <w:bookmarkEnd w:id="1"/>
                            <w:r w:rsidR="00C6586F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685.1pt;width:1081.1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bj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" o:allowoverlap="f" filled="f" stroked="f">
                <v:textbox>
                  <w:txbxContent>
                    <w:bookmarkStart w:id="1" w:name="MeetingType"/>
                    <w:p w:rsidR="002F64D1" w:rsidRDefault="002F64D1" w:rsidP="00283990">
                      <w:pPr>
                        <w:pStyle w:val="Headingnonum"/>
                      </w:pPr>
                      <w:r>
                        <w:fldChar w:fldCharType="begin"/>
                      </w:r>
                      <w:r>
                        <w:instrText xml:space="preserve"> DOCPROPERTY  MeetingType \* MERGEFORMAT </w:instrText>
                      </w:r>
                      <w:r>
                        <w:fldChar w:fldCharType="separate"/>
                      </w:r>
                      <w:r>
                        <w:t>Merseyside Waste Disposal Authority</w:t>
                      </w:r>
                      <w:r>
                        <w:fldChar w:fldCharType="end"/>
                      </w:r>
                    </w:p>
                    <w:p w:rsidR="002F64D1" w:rsidRDefault="00C6586F" w:rsidP="00283990">
                      <w:pPr>
                        <w:pStyle w:val="Headingnonum"/>
                      </w:pPr>
                      <w:r>
                        <w:fldChar w:fldCharType="begin"/>
                      </w:r>
                      <w:r>
                        <w:instrText xml:space="preserve"> DOCPROPERTY  Date \* MERGEFORMAT </w:instrText>
                      </w:r>
                      <w:r>
                        <w:fldChar w:fldCharType="separate"/>
                      </w:r>
                      <w:r w:rsidR="00724DF6">
                        <w:t>2</w:t>
                      </w:r>
                      <w:r>
                        <w:t>3rd</w:t>
                      </w:r>
                      <w:r w:rsidR="00724DF6">
                        <w:t xml:space="preserve"> June 201</w:t>
                      </w:r>
                      <w:r>
                        <w:fldChar w:fldCharType="end"/>
                      </w:r>
                      <w:bookmarkEnd w:id="1"/>
                      <w:r>
                        <w:t>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311788" w:rsidRDefault="00311788" w:rsidP="00311788">
      <w:pPr>
        <w:pStyle w:val="Bodytextnumbered"/>
      </w:pPr>
      <w:r>
        <w:t xml:space="preserve">Rule 3.2(vi) of the Procedural Rules requires the Authority to </w:t>
      </w:r>
      <w:r w:rsidR="00D343B9">
        <w:t>adopt</w:t>
      </w:r>
      <w:r>
        <w:t xml:space="preserve"> its Scheme of Delegation at its Annual Meeting each year.  </w:t>
      </w:r>
    </w:p>
    <w:p w:rsidR="00311788" w:rsidRDefault="00311788" w:rsidP="00311788">
      <w:pPr>
        <w:pStyle w:val="Bodytextnumbered"/>
      </w:pPr>
      <w:r>
        <w:t>The Constitution is reviewed at le</w:t>
      </w:r>
      <w:r w:rsidR="00D343B9">
        <w:t xml:space="preserve">ast annually to ensure that </w:t>
      </w:r>
      <w:r>
        <w:t xml:space="preserve">governance arrangements remain fit for purpose.  Any proposed changes to the Scheme of Delegation or procedural rules are subject to Members’ approval. </w:t>
      </w:r>
    </w:p>
    <w:p w:rsidR="004701E7" w:rsidRDefault="006907EF" w:rsidP="00E8093A">
      <w:pPr>
        <w:pStyle w:val="Heading1"/>
      </w:pPr>
      <w:r>
        <w:t>Scheme of Delegation</w:t>
      </w:r>
    </w:p>
    <w:p w:rsidR="00907A4A" w:rsidRDefault="006907EF" w:rsidP="00E346F9">
      <w:pPr>
        <w:pStyle w:val="Bodytextnumbered"/>
      </w:pPr>
      <w:r>
        <w:t xml:space="preserve">The </w:t>
      </w:r>
      <w:r w:rsidR="00BA5A09">
        <w:t xml:space="preserve">Scheme of Delegation describes the </w:t>
      </w:r>
      <w:r>
        <w:t>Authority</w:t>
      </w:r>
      <w:r w:rsidR="00BA5A09">
        <w:t xml:space="preserve">’s decision making process and </w:t>
      </w:r>
      <w:r>
        <w:t>defines three levels of decisions as follows:</w:t>
      </w:r>
    </w:p>
    <w:p w:rsidR="006907EF" w:rsidRDefault="006907EF" w:rsidP="006907EF">
      <w:pPr>
        <w:pStyle w:val="Heading1"/>
        <w:numPr>
          <w:ilvl w:val="0"/>
          <w:numId w:val="28"/>
        </w:numPr>
        <w:spacing w:before="0"/>
        <w:rPr>
          <w:rFonts w:ascii="Arial" w:hAnsi="Arial"/>
          <w:b w:val="0"/>
          <w:u w:val="none"/>
        </w:rPr>
      </w:pPr>
      <w:r>
        <w:rPr>
          <w:rFonts w:ascii="Arial" w:hAnsi="Arial"/>
          <w:u w:val="none"/>
        </w:rPr>
        <w:lastRenderedPageBreak/>
        <w:t>K</w:t>
      </w:r>
      <w:r w:rsidRPr="00474403">
        <w:rPr>
          <w:rFonts w:ascii="Arial" w:hAnsi="Arial"/>
          <w:u w:val="none"/>
        </w:rPr>
        <w:t>ey Decisions</w:t>
      </w:r>
      <w:r>
        <w:rPr>
          <w:rFonts w:ascii="Arial" w:hAnsi="Arial"/>
          <w:b w:val="0"/>
          <w:u w:val="none"/>
        </w:rPr>
        <w:t xml:space="preserve"> are decisions having</w:t>
      </w:r>
      <w:r w:rsidR="00B60C96">
        <w:rPr>
          <w:rFonts w:ascii="Arial" w:hAnsi="Arial"/>
          <w:b w:val="0"/>
          <w:u w:val="none"/>
        </w:rPr>
        <w:t xml:space="preserve"> a</w:t>
      </w:r>
      <w:r>
        <w:rPr>
          <w:rFonts w:ascii="Arial" w:hAnsi="Arial"/>
          <w:b w:val="0"/>
          <w:u w:val="none"/>
        </w:rPr>
        <w:t xml:space="preserve"> significant financial or community </w:t>
      </w:r>
      <w:r w:rsidR="00B60C96">
        <w:rPr>
          <w:rFonts w:ascii="Arial" w:hAnsi="Arial"/>
          <w:b w:val="0"/>
          <w:u w:val="none"/>
        </w:rPr>
        <w:t>impact</w:t>
      </w:r>
      <w:r>
        <w:rPr>
          <w:rFonts w:ascii="Arial" w:hAnsi="Arial"/>
          <w:b w:val="0"/>
          <w:u w:val="none"/>
        </w:rPr>
        <w:t xml:space="preserve"> as defined in the Authority Procedural Rules</w:t>
      </w:r>
      <w:r w:rsidR="00E3270D">
        <w:rPr>
          <w:rFonts w:ascii="Arial" w:hAnsi="Arial"/>
          <w:b w:val="0"/>
          <w:u w:val="none"/>
        </w:rPr>
        <w:t>, or if the Chief Executive is of the view that a decision should be a Key Decision</w:t>
      </w:r>
      <w:r>
        <w:rPr>
          <w:rFonts w:ascii="Arial" w:hAnsi="Arial"/>
          <w:b w:val="0"/>
          <w:u w:val="none"/>
        </w:rPr>
        <w:t xml:space="preserve">.  Key Decisions cannot be delegated except under urgent action </w:t>
      </w:r>
      <w:r w:rsidR="00B60C96">
        <w:rPr>
          <w:rFonts w:ascii="Arial" w:hAnsi="Arial"/>
          <w:b w:val="0"/>
          <w:u w:val="none"/>
        </w:rPr>
        <w:t>in line with the Authority Procedural Rules</w:t>
      </w:r>
      <w:r>
        <w:rPr>
          <w:rFonts w:ascii="Arial" w:hAnsi="Arial"/>
          <w:b w:val="0"/>
          <w:u w:val="none"/>
        </w:rPr>
        <w:t xml:space="preserve">. </w:t>
      </w:r>
    </w:p>
    <w:p w:rsidR="006907EF" w:rsidRPr="00CF2668" w:rsidRDefault="006907EF" w:rsidP="006907EF">
      <w:pPr>
        <w:pStyle w:val="Heading1"/>
        <w:numPr>
          <w:ilvl w:val="0"/>
          <w:numId w:val="28"/>
        </w:numPr>
        <w:spacing w:before="0"/>
      </w:pPr>
      <w:r w:rsidRPr="00474403">
        <w:rPr>
          <w:rFonts w:ascii="Arial" w:hAnsi="Arial"/>
          <w:u w:val="none"/>
        </w:rPr>
        <w:t>Executive Decisions</w:t>
      </w:r>
      <w:r>
        <w:rPr>
          <w:rFonts w:ascii="Arial" w:hAnsi="Arial"/>
          <w:b w:val="0"/>
          <w:u w:val="none"/>
        </w:rPr>
        <w:t xml:space="preserve"> and </w:t>
      </w:r>
      <w:r w:rsidRPr="00474403">
        <w:rPr>
          <w:rFonts w:ascii="Arial" w:hAnsi="Arial"/>
          <w:u w:val="none"/>
        </w:rPr>
        <w:t>Administrative Decisions</w:t>
      </w:r>
      <w:r>
        <w:rPr>
          <w:rFonts w:ascii="Arial" w:hAnsi="Arial"/>
          <w:b w:val="0"/>
          <w:u w:val="none"/>
        </w:rPr>
        <w:t xml:space="preserve"> are decisions which can be delegated to officers subject to the limitations defined in the Scheme of Delegation.</w:t>
      </w:r>
    </w:p>
    <w:p w:rsidR="00311788" w:rsidRDefault="006907EF" w:rsidP="00311788">
      <w:pPr>
        <w:pStyle w:val="Bodytextnumbered"/>
      </w:pPr>
      <w:r>
        <w:t>The existing Scheme of Delegation has been reviewed and</w:t>
      </w:r>
      <w:r w:rsidR="00ED30F9">
        <w:t xml:space="preserve"> </w:t>
      </w:r>
      <w:r w:rsidR="00724DF6">
        <w:t xml:space="preserve">no amendments </w:t>
      </w:r>
      <w:r w:rsidR="00D343B9">
        <w:t>are proposed</w:t>
      </w:r>
      <w:r w:rsidR="00724DF6">
        <w:t xml:space="preserve">. Members are therefore asked to </w:t>
      </w:r>
      <w:r>
        <w:t>adopt the Scheme of Delegation attached at Appendix 1 in accordance with Rule 3.2 (vi)</w:t>
      </w:r>
      <w:r w:rsidR="00B32FB3">
        <w:t xml:space="preserve"> </w:t>
      </w:r>
      <w:r w:rsidR="00B60C96">
        <w:t>of</w:t>
      </w:r>
      <w:r w:rsidR="00B32FB3">
        <w:t xml:space="preserve"> the Authority Procedural Rules</w:t>
      </w:r>
      <w:r>
        <w:t>.</w:t>
      </w:r>
      <w:r w:rsidR="00311788" w:rsidRPr="00311788">
        <w:t xml:space="preserve"> </w:t>
      </w:r>
    </w:p>
    <w:p w:rsidR="00D343B9" w:rsidRDefault="00B60C96" w:rsidP="00D343B9">
      <w:pPr>
        <w:pStyle w:val="Bodytextnumbered"/>
      </w:pPr>
      <w:r>
        <w:t xml:space="preserve">In addition to the Scheme of Delegation, the Authority’s set of </w:t>
      </w:r>
      <w:r w:rsidR="00D343B9">
        <w:t xml:space="preserve">procedural rules </w:t>
      </w:r>
      <w:r>
        <w:t>were also</w:t>
      </w:r>
      <w:r w:rsidR="00D343B9">
        <w:t xml:space="preserve"> </w:t>
      </w:r>
      <w:r w:rsidR="00EF28EB">
        <w:t>review</w:t>
      </w:r>
      <w:r w:rsidR="00D343B9">
        <w:t>ed and there are no proposed changes at this time</w:t>
      </w:r>
      <w:r w:rsidR="00311788">
        <w:t>.</w:t>
      </w:r>
    </w:p>
    <w:p w:rsidR="001F3825" w:rsidRDefault="001F3825" w:rsidP="00EF28EB">
      <w:pPr>
        <w:pStyle w:val="Bodytextnumbered"/>
        <w:numPr>
          <w:ilvl w:val="0"/>
          <w:numId w:val="0"/>
        </w:numPr>
        <w:spacing w:after="0"/>
        <w:ind w:left="1077"/>
      </w:pPr>
      <w:r>
        <w:t xml:space="preserve">  </w:t>
      </w:r>
    </w:p>
    <w:p w:rsidR="004701E7" w:rsidRDefault="004701E7" w:rsidP="00E346F9">
      <w:pPr>
        <w:pStyle w:val="Heading1"/>
      </w:pPr>
      <w:r>
        <w:t xml:space="preserve">Risk </w:t>
      </w:r>
      <w:r w:rsidR="0036067F">
        <w:t>Implications</w:t>
      </w:r>
    </w:p>
    <w:p w:rsidR="006907EF" w:rsidRDefault="006907EF" w:rsidP="006907EF">
      <w:pPr>
        <w:pStyle w:val="Bodytextnumbered"/>
      </w:pPr>
      <w:r>
        <w:t>The following risk analysis had been undertaken in relation to this report: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437"/>
        <w:gridCol w:w="1790"/>
        <w:gridCol w:w="900"/>
        <w:gridCol w:w="2294"/>
      </w:tblGrid>
      <w:tr w:rsidR="006907EF" w:rsidRPr="00BF4C40" w:rsidTr="006907EF">
        <w:tc>
          <w:tcPr>
            <w:tcW w:w="1798" w:type="dxa"/>
            <w:shd w:val="clear" w:color="auto" w:fill="auto"/>
          </w:tcPr>
          <w:p w:rsidR="006907EF" w:rsidRPr="00BF4C40" w:rsidRDefault="006907EF" w:rsidP="006907EF">
            <w:pPr>
              <w:rPr>
                <w:rFonts w:cs="Arial"/>
                <w:b/>
                <w:bCs/>
                <w:szCs w:val="24"/>
              </w:rPr>
            </w:pPr>
            <w:r w:rsidRPr="00BF4C40">
              <w:rPr>
                <w:rFonts w:cs="Arial"/>
                <w:b/>
                <w:bCs/>
                <w:szCs w:val="24"/>
              </w:rPr>
              <w:t>Identified Risk</w:t>
            </w:r>
          </w:p>
        </w:tc>
        <w:tc>
          <w:tcPr>
            <w:tcW w:w="1437" w:type="dxa"/>
            <w:shd w:val="clear" w:color="auto" w:fill="auto"/>
          </w:tcPr>
          <w:p w:rsidR="006907EF" w:rsidRPr="00BF4C40" w:rsidRDefault="006907EF" w:rsidP="006907EF">
            <w:pPr>
              <w:rPr>
                <w:rFonts w:cs="Arial"/>
                <w:b/>
                <w:bCs/>
                <w:szCs w:val="24"/>
              </w:rPr>
            </w:pPr>
            <w:r w:rsidRPr="00BF4C40">
              <w:rPr>
                <w:rFonts w:cs="Arial"/>
                <w:b/>
                <w:bCs/>
                <w:szCs w:val="24"/>
              </w:rPr>
              <w:t>Likelihood Rating</w:t>
            </w:r>
          </w:p>
        </w:tc>
        <w:tc>
          <w:tcPr>
            <w:tcW w:w="1790" w:type="dxa"/>
            <w:shd w:val="clear" w:color="auto" w:fill="auto"/>
          </w:tcPr>
          <w:p w:rsidR="006907EF" w:rsidRPr="00BF4C40" w:rsidRDefault="006907EF" w:rsidP="006907EF">
            <w:pPr>
              <w:rPr>
                <w:rFonts w:cs="Arial"/>
                <w:b/>
                <w:bCs/>
                <w:szCs w:val="24"/>
              </w:rPr>
            </w:pPr>
            <w:r w:rsidRPr="00BF4C40">
              <w:rPr>
                <w:rFonts w:cs="Arial"/>
                <w:b/>
                <w:bCs/>
                <w:szCs w:val="24"/>
              </w:rPr>
              <w:t>Consequence Rating</w:t>
            </w:r>
          </w:p>
        </w:tc>
        <w:tc>
          <w:tcPr>
            <w:tcW w:w="900" w:type="dxa"/>
            <w:shd w:val="clear" w:color="auto" w:fill="auto"/>
          </w:tcPr>
          <w:p w:rsidR="006907EF" w:rsidRPr="00BF4C40" w:rsidRDefault="006907EF" w:rsidP="006907EF">
            <w:pPr>
              <w:rPr>
                <w:rFonts w:cs="Arial"/>
                <w:b/>
                <w:bCs/>
                <w:szCs w:val="24"/>
              </w:rPr>
            </w:pPr>
            <w:r w:rsidRPr="00BF4C40">
              <w:rPr>
                <w:rFonts w:cs="Arial"/>
                <w:b/>
                <w:bCs/>
                <w:szCs w:val="24"/>
              </w:rPr>
              <w:t>Risk Value</w:t>
            </w:r>
          </w:p>
        </w:tc>
        <w:tc>
          <w:tcPr>
            <w:tcW w:w="2294" w:type="dxa"/>
            <w:shd w:val="clear" w:color="auto" w:fill="auto"/>
          </w:tcPr>
          <w:p w:rsidR="006907EF" w:rsidRPr="00BF4C40" w:rsidRDefault="006907EF" w:rsidP="006907EF">
            <w:pPr>
              <w:rPr>
                <w:rFonts w:cs="Arial"/>
                <w:b/>
                <w:bCs/>
                <w:szCs w:val="24"/>
              </w:rPr>
            </w:pPr>
            <w:r w:rsidRPr="00BF4C40">
              <w:rPr>
                <w:rFonts w:cs="Arial"/>
                <w:b/>
                <w:bCs/>
                <w:szCs w:val="24"/>
              </w:rPr>
              <w:t>Mitigation</w:t>
            </w:r>
          </w:p>
        </w:tc>
      </w:tr>
      <w:tr w:rsidR="006907EF" w:rsidTr="006907EF">
        <w:tc>
          <w:tcPr>
            <w:tcW w:w="1798" w:type="dxa"/>
          </w:tcPr>
          <w:p w:rsidR="006907EF" w:rsidRPr="00A7546D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 xml:space="preserve">Delegation of decisions not proportionate to levels of responsibility. </w:t>
            </w:r>
          </w:p>
        </w:tc>
        <w:tc>
          <w:tcPr>
            <w:tcW w:w="1437" w:type="dxa"/>
          </w:tcPr>
          <w:p w:rsidR="006907EF" w:rsidRPr="00A7546D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790" w:type="dxa"/>
          </w:tcPr>
          <w:p w:rsidR="006907EF" w:rsidRPr="00A7546D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00" w:type="dxa"/>
          </w:tcPr>
          <w:p w:rsidR="006907EF" w:rsidRPr="00A7546D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294" w:type="dxa"/>
          </w:tcPr>
          <w:p w:rsidR="006907EF" w:rsidRPr="00A7546D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Scheme defines scope and limitations for taking delegated decisions.</w:t>
            </w:r>
          </w:p>
        </w:tc>
      </w:tr>
      <w:tr w:rsidR="006907EF" w:rsidTr="006907EF">
        <w:tc>
          <w:tcPr>
            <w:tcW w:w="1798" w:type="dxa"/>
          </w:tcPr>
          <w:p w:rsidR="006907EF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Members and officers not aware of levels of delegation.</w:t>
            </w:r>
          </w:p>
        </w:tc>
        <w:tc>
          <w:tcPr>
            <w:tcW w:w="1437" w:type="dxa"/>
          </w:tcPr>
          <w:p w:rsidR="006907EF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90" w:type="dxa"/>
          </w:tcPr>
          <w:p w:rsidR="006907EF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00" w:type="dxa"/>
          </w:tcPr>
          <w:p w:rsidR="006907EF" w:rsidRDefault="006907EF" w:rsidP="006907E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294" w:type="dxa"/>
          </w:tcPr>
          <w:p w:rsidR="006907EF" w:rsidRDefault="006907EF" w:rsidP="00B56020">
            <w:pPr>
              <w:rPr>
                <w:rFonts w:cs="Arial"/>
              </w:rPr>
            </w:pPr>
            <w:r>
              <w:rPr>
                <w:rFonts w:cs="Arial"/>
              </w:rPr>
              <w:t xml:space="preserve">Adoption and review of scheme each year.  </w:t>
            </w:r>
            <w:r w:rsidR="00B56020">
              <w:rPr>
                <w:rFonts w:cs="Arial"/>
              </w:rPr>
              <w:t xml:space="preserve">Constitution </w:t>
            </w:r>
            <w:r>
              <w:rPr>
                <w:rFonts w:cs="Arial"/>
              </w:rPr>
              <w:t>included in training and induction programmes.</w:t>
            </w:r>
          </w:p>
        </w:tc>
      </w:tr>
      <w:tr w:rsidR="00B068F4" w:rsidTr="006907EF">
        <w:tc>
          <w:tcPr>
            <w:tcW w:w="1798" w:type="dxa"/>
          </w:tcPr>
          <w:p w:rsidR="00B068F4" w:rsidRDefault="00B068F4" w:rsidP="006907EF">
            <w:pPr>
              <w:rPr>
                <w:rFonts w:cs="Arial"/>
              </w:rPr>
            </w:pPr>
            <w:r>
              <w:rPr>
                <w:rFonts w:cs="Arial"/>
              </w:rPr>
              <w:t>Updated</w:t>
            </w:r>
            <w:r w:rsidR="00B55E11">
              <w:rPr>
                <w:rFonts w:cs="Arial"/>
              </w:rPr>
              <w:t xml:space="preserve"> rules not disseminated</w:t>
            </w:r>
            <w:r>
              <w:rPr>
                <w:rFonts w:cs="Arial"/>
              </w:rPr>
              <w:t>.</w:t>
            </w:r>
          </w:p>
        </w:tc>
        <w:tc>
          <w:tcPr>
            <w:tcW w:w="1437" w:type="dxa"/>
          </w:tcPr>
          <w:p w:rsidR="00B068F4" w:rsidRDefault="00B068F4" w:rsidP="006907E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90" w:type="dxa"/>
          </w:tcPr>
          <w:p w:rsidR="00B068F4" w:rsidRDefault="00B068F4" w:rsidP="006907EF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00" w:type="dxa"/>
          </w:tcPr>
          <w:p w:rsidR="00B068F4" w:rsidRDefault="00B068F4" w:rsidP="006907EF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294" w:type="dxa"/>
          </w:tcPr>
          <w:p w:rsidR="00EF28EB" w:rsidRDefault="00B55E11" w:rsidP="00B55E11">
            <w:pPr>
              <w:rPr>
                <w:rFonts w:cs="Arial"/>
              </w:rPr>
            </w:pPr>
            <w:r>
              <w:rPr>
                <w:rFonts w:cs="Arial"/>
              </w:rPr>
              <w:t xml:space="preserve">The revised </w:t>
            </w:r>
            <w:r w:rsidR="00B56020">
              <w:rPr>
                <w:rFonts w:cs="Arial"/>
              </w:rPr>
              <w:t xml:space="preserve">Constitution </w:t>
            </w:r>
            <w:r>
              <w:rPr>
                <w:rFonts w:cs="Arial"/>
              </w:rPr>
              <w:t>will be published on the Authority’s website</w:t>
            </w:r>
            <w:r w:rsidR="00B56020">
              <w:rPr>
                <w:rFonts w:cs="Arial"/>
              </w:rPr>
              <w:t>.</w:t>
            </w:r>
          </w:p>
          <w:p w:rsidR="00EF28EB" w:rsidRDefault="00EF28EB" w:rsidP="00B55E11">
            <w:pPr>
              <w:rPr>
                <w:rFonts w:cs="Arial"/>
              </w:rPr>
            </w:pPr>
          </w:p>
        </w:tc>
      </w:tr>
    </w:tbl>
    <w:p w:rsidR="006907EF" w:rsidRDefault="006907EF" w:rsidP="006907EF">
      <w:pPr>
        <w:pStyle w:val="Heading1"/>
      </w:pPr>
      <w:r>
        <w:lastRenderedPageBreak/>
        <w:t>HR Implications</w:t>
      </w:r>
    </w:p>
    <w:p w:rsidR="006907EF" w:rsidRDefault="006907EF" w:rsidP="006907EF">
      <w:pPr>
        <w:pStyle w:val="Bodytextnumbered"/>
      </w:pPr>
      <w:r>
        <w:t>There are no HR implications associated with this report</w:t>
      </w:r>
      <w:r w:rsidR="00B60C96">
        <w:t>.</w:t>
      </w:r>
    </w:p>
    <w:p w:rsidR="00B60C96" w:rsidRDefault="00B60C96" w:rsidP="00B60C96">
      <w:pPr>
        <w:pStyle w:val="Heading1"/>
      </w:pPr>
      <w:r>
        <w:t>Legal Implications</w:t>
      </w:r>
    </w:p>
    <w:p w:rsidR="00B60C96" w:rsidRDefault="00B60C96" w:rsidP="00B60C96">
      <w:pPr>
        <w:pStyle w:val="Bodytextnumbered"/>
      </w:pPr>
      <w:r>
        <w:t>There are no legal implications associated with this report.</w:t>
      </w:r>
    </w:p>
    <w:p w:rsidR="006907EF" w:rsidRDefault="006907EF" w:rsidP="006907EF">
      <w:pPr>
        <w:pStyle w:val="Heading1"/>
      </w:pPr>
      <w:r>
        <w:t>Environmental Implications</w:t>
      </w:r>
    </w:p>
    <w:p w:rsidR="006907EF" w:rsidRDefault="006907EF" w:rsidP="006907EF">
      <w:pPr>
        <w:pStyle w:val="Bodytextnumbered"/>
      </w:pPr>
      <w:r>
        <w:t>There are no environmental implications associated with this report.</w:t>
      </w:r>
    </w:p>
    <w:p w:rsidR="006907EF" w:rsidRDefault="006907EF" w:rsidP="006907EF">
      <w:pPr>
        <w:pStyle w:val="Heading1"/>
      </w:pPr>
      <w:r>
        <w:t>Financial Implications</w:t>
      </w:r>
    </w:p>
    <w:p w:rsidR="008D7199" w:rsidRDefault="006907EF" w:rsidP="006907EF">
      <w:pPr>
        <w:pStyle w:val="Bodytextnumbered"/>
      </w:pPr>
      <w:r>
        <w:t xml:space="preserve">There are no financial implications associated with this report.  </w:t>
      </w:r>
    </w:p>
    <w:p w:rsidR="004701E7" w:rsidRDefault="004701E7" w:rsidP="00E346F9">
      <w:pPr>
        <w:pStyle w:val="Heading1"/>
      </w:pPr>
      <w:r>
        <w:t>Conclusion</w:t>
      </w:r>
    </w:p>
    <w:p w:rsidR="00907A4A" w:rsidRDefault="006907EF" w:rsidP="00907A4A">
      <w:pPr>
        <w:pStyle w:val="Bodytextnumbered"/>
      </w:pPr>
      <w:r>
        <w:t xml:space="preserve">Members are asked to adopt the Authority’s Scheme of Delegation for the </w:t>
      </w:r>
      <w:r w:rsidR="00724DF6">
        <w:t>201</w:t>
      </w:r>
      <w:r w:rsidR="00C6586F">
        <w:t>7</w:t>
      </w:r>
      <w:r w:rsidR="00724DF6">
        <w:t>/1</w:t>
      </w:r>
      <w:r w:rsidR="00C6586F">
        <w:t>8</w:t>
      </w:r>
      <w:r>
        <w:t xml:space="preserve"> Municipal Year.</w:t>
      </w:r>
    </w:p>
    <w:p w:rsidR="006907EF" w:rsidRPr="00234198" w:rsidRDefault="006907EF" w:rsidP="006907EF">
      <w:pPr>
        <w:pStyle w:val="Bodytextnumbered"/>
        <w:numPr>
          <w:ilvl w:val="0"/>
          <w:numId w:val="0"/>
        </w:numPr>
        <w:ind w:left="1077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45"/>
      </w:tblGrid>
      <w:tr w:rsidR="00E4410A" w:rsidTr="0033612C">
        <w:trPr>
          <w:cantSplit/>
        </w:trPr>
        <w:tc>
          <w:tcPr>
            <w:tcW w:w="9245" w:type="dxa"/>
          </w:tcPr>
          <w:p w:rsidR="008000A0" w:rsidRDefault="008000A0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bookmarkStart w:id="2" w:name="Contact"/>
            <w:r>
              <w:t>The contact officer for</w:t>
            </w:r>
            <w:r w:rsidR="00C6586F">
              <w:t xml:space="preserve"> this report is: Paula Pocock</w:t>
            </w:r>
            <w:r>
              <w:br/>
              <w:t>7th Floor</w:t>
            </w:r>
          </w:p>
          <w:p w:rsidR="008000A0" w:rsidRDefault="008000A0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No 1 Mann Island</w:t>
            </w:r>
          </w:p>
          <w:p w:rsidR="00010101" w:rsidRPr="00E4410A" w:rsidRDefault="008000A0" w:rsidP="0033612C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Liverpoo</w:t>
            </w:r>
            <w:r w:rsidR="00C6586F">
              <w:t>l L3 1BP</w:t>
            </w:r>
            <w:r w:rsidR="00C6586F">
              <w:br/>
            </w:r>
            <w:r w:rsidR="00C6586F">
              <w:br/>
              <w:t>Email:</w:t>
            </w:r>
            <w:r w:rsidR="00C6586F">
              <w:tab/>
              <w:t>paula.pocock</w:t>
            </w:r>
            <w:r>
              <w:t>@mersey</w:t>
            </w:r>
            <w:r w:rsidR="00C6586F">
              <w:t>sidewda.gov.uk</w:t>
            </w:r>
            <w:r w:rsidR="00C6586F">
              <w:br/>
              <w:t>Tel:</w:t>
            </w:r>
            <w:r w:rsidR="00C6586F">
              <w:tab/>
              <w:t>0151 255 257</w:t>
            </w:r>
            <w:r>
              <w:t>3</w:t>
            </w:r>
            <w:r>
              <w:br/>
              <w:t>Fax:</w:t>
            </w:r>
            <w:r>
              <w:tab/>
              <w:t>0151 227 1848</w:t>
            </w:r>
            <w:r>
              <w:br/>
            </w:r>
            <w:r>
              <w:br/>
              <w:t>The background documents to this report are open to inspection in accordance with Section 100D of The Local Government Act 1972 - Nil.</w:t>
            </w:r>
          </w:p>
        </w:tc>
      </w:tr>
      <w:bookmarkEnd w:id="2"/>
    </w:tbl>
    <w:p w:rsidR="00E4410A" w:rsidRDefault="00E4410A" w:rsidP="00907A4A">
      <w:pPr>
        <w:pStyle w:val="BodyText"/>
        <w:spacing w:after="0"/>
        <w:rPr>
          <w:rFonts w:cs="Arial"/>
        </w:rPr>
      </w:pPr>
    </w:p>
    <w:sectPr w:rsidR="00E4410A" w:rsidSect="00813621">
      <w:headerReference w:type="default" r:id="rId8"/>
      <w:pgSz w:w="11909" w:h="16834" w:code="9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D1" w:rsidRDefault="002F64D1">
      <w:r>
        <w:separator/>
      </w:r>
    </w:p>
  </w:endnote>
  <w:endnote w:type="continuationSeparator" w:id="0">
    <w:p w:rsidR="002F64D1" w:rsidRDefault="002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D1" w:rsidRDefault="002F64D1">
      <w:r>
        <w:separator/>
      </w:r>
    </w:p>
  </w:footnote>
  <w:footnote w:type="continuationSeparator" w:id="0">
    <w:p w:rsidR="002F64D1" w:rsidRDefault="002F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8B" w:rsidRPr="00C9008B" w:rsidRDefault="00E86B02" w:rsidP="00C9008B">
    <w:pPr>
      <w:pStyle w:val="Header"/>
      <w:jc w:val="right"/>
      <w:rPr>
        <w:b/>
        <w:sz w:val="56"/>
        <w:szCs w:val="56"/>
      </w:rPr>
    </w:pPr>
    <w:r>
      <w:rPr>
        <w:b/>
        <w:sz w:val="56"/>
        <w:szCs w:val="56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24C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6AD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C2A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E84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76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27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4E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85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44D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DCA456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341"/>
      </w:pPr>
      <w:rPr>
        <w:rFonts w:ascii="Symbol" w:hAnsi="Symbol" w:hint="default"/>
      </w:rPr>
    </w:lvl>
  </w:abstractNum>
  <w:abstractNum w:abstractNumId="10">
    <w:nsid w:val="07F61543"/>
    <w:multiLevelType w:val="multilevel"/>
    <w:tmpl w:val="46661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547BD"/>
    <w:multiLevelType w:val="hybridMultilevel"/>
    <w:tmpl w:val="5484D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06406"/>
    <w:multiLevelType w:val="hybridMultilevel"/>
    <w:tmpl w:val="6EE25E1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D411C3B"/>
    <w:multiLevelType w:val="multilevel"/>
    <w:tmpl w:val="E0883E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6C701B5"/>
    <w:multiLevelType w:val="hybridMultilevel"/>
    <w:tmpl w:val="32729CDC"/>
    <w:lvl w:ilvl="0" w:tplc="B6B010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C0980"/>
    <w:multiLevelType w:val="multilevel"/>
    <w:tmpl w:val="82D8F884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5FC7C4D"/>
    <w:multiLevelType w:val="multilevel"/>
    <w:tmpl w:val="87EE1B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E7D66"/>
    <w:multiLevelType w:val="multilevel"/>
    <w:tmpl w:val="431AA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104E5"/>
    <w:multiLevelType w:val="hybridMultilevel"/>
    <w:tmpl w:val="C3D6A150"/>
    <w:lvl w:ilvl="0" w:tplc="BC18637A">
      <w:start w:val="1"/>
      <w:numFmt w:val="lowerLetter"/>
      <w:pStyle w:val="Listalpha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626EBC"/>
    <w:multiLevelType w:val="hybridMultilevel"/>
    <w:tmpl w:val="06CACF62"/>
    <w:lvl w:ilvl="0" w:tplc="6D3624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1"/>
  </w:num>
  <w:num w:numId="26">
    <w:abstractNumId w:val="15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ATED" w:val="1"/>
    <w:docVar w:name="cbMeetingType" w:val="Merseyside Waste Disposal Authority"/>
    <w:docVar w:name="cbMeetingType_0" w:val="Merseyside Waste Disposal Authority"/>
    <w:docVar w:name="cbMeetingType_0_0" w:val="Merseyside Waste Disposal Authority"/>
    <w:docVar w:name="cbMeetingType_1" w:val="Appeals Committee"/>
    <w:docVar w:name="cbMeetingType_1_0" w:val="Appeals Committee"/>
    <w:docVar w:name="cbMeetingType_2" w:val="Audit and Govenance Committee"/>
    <w:docVar w:name="cbMeetingType_2_0" w:val="Audit and Govenance Committee"/>
    <w:docVar w:name="cbMeetingType_ListCount" w:val="3"/>
    <w:docVar w:name="cbMeetingType_ListIndex" w:val="0"/>
    <w:docVar w:name="cbReason_0" w:val="Relates to an individual"/>
    <w:docVar w:name="cbReason_0_0" w:val="Relates to an individual"/>
    <w:docVar w:name="cbReason_1" w:val="likely to reveal the identity of an individual"/>
    <w:docVar w:name="cbReason_1_0" w:val="likely to reveal the identity of an individual"/>
    <w:docVar w:name="cbReason_2" w:val="relating to the financial or business affairs of any particular person"/>
    <w:docVar w:name="cbReason_2_0" w:val="relating to the financial or business affairs of any particular person"/>
    <w:docVar w:name="cbReason_3" w:val="relating to any labour relations negotiations"/>
    <w:docVar w:name="cbReason_3_0" w:val="relating to any labour relations negotiations"/>
    <w:docVar w:name="cbReason_4" w:val="claim to legal professional privilege could be maintained in legal proceedings"/>
    <w:docVar w:name="cbReason_4_0" w:val="claim to legal professional privilege could be maintained in legal proceedings"/>
    <w:docVar w:name="cbReason_5" w:val="enact a notice or order"/>
    <w:docVar w:name="cbReason_5_0" w:val="enact a notice or order"/>
    <w:docVar w:name="cbReason_6" w:val="prevention, investigation or prosecution of crime"/>
    <w:docVar w:name="cbReason_6_0" w:val="prevention, investigation or prosecution of crime"/>
    <w:docVar w:name="cbReason_ListCount" w:val="7"/>
    <w:docVar w:name="cbReason_ListIndex" w:val="-1"/>
    <w:docVar w:name="cbReportOriginator" w:val="Chief Executive"/>
    <w:docVar w:name="cbReportOriginator_0" w:val="Chief Executive"/>
    <w:docVar w:name="cbReportOriginator_0_0" w:val="Chief Executive"/>
    <w:docVar w:name="cbReportOriginator_1" w:val="Treasurer"/>
    <w:docVar w:name="cbReportOriginator_1_0" w:val="Treasurer"/>
    <w:docVar w:name="cbReportOriginator_2" w:val="Solicitor"/>
    <w:docVar w:name="cbReportOriginator_2_0" w:val="Solicitor"/>
    <w:docVar w:name="cbReportOriginator_ListCount" w:val="3"/>
    <w:docVar w:name="cbReportOriginator_ListIndex" w:val="0"/>
    <w:docVar w:name="optDec" w:val="0"/>
    <w:docVar w:name="optInfo" w:val="-1"/>
    <w:docVar w:name="optPrivate" w:val="0"/>
    <w:docVar w:name="optPublic" w:val="-1"/>
    <w:docVar w:name="RERUN" w:val="1"/>
    <w:docVar w:name="tbAddress" w:val="7th Floor_x000d__x000a_No 1 Mann Island_x000d__x000a_Liverpool L3 1BP"/>
    <w:docVar w:name="tbAuthor" w:val="Mandy Valentine"/>
    <w:docVar w:name="tbDate" w:val="25th July 2014"/>
    <w:docVar w:name="tbEmail" w:val="mandy.valentine@merseysidewda.gov.uk"/>
    <w:docVar w:name="tbFax" w:val="0151 227 1848"/>
    <w:docVar w:name="tbItemNumber" w:val="x"/>
    <w:docVar w:name="tbReference" w:val="21"/>
    <w:docVar w:name="tbRefYear" w:val="/14"/>
    <w:docVar w:name="tbTelNo" w:val="0151 255 2523"/>
    <w:docVar w:name="tbTitle" w:val="Scheme of Delegation and Procedural Rules"/>
    <w:docVar w:name="tbWDA" w:val="WDA/"/>
  </w:docVars>
  <w:rsids>
    <w:rsidRoot w:val="004E2BF0"/>
    <w:rsid w:val="0000174F"/>
    <w:rsid w:val="00010101"/>
    <w:rsid w:val="00016F38"/>
    <w:rsid w:val="00023F92"/>
    <w:rsid w:val="00034C6C"/>
    <w:rsid w:val="00041BE4"/>
    <w:rsid w:val="00047478"/>
    <w:rsid w:val="000522AE"/>
    <w:rsid w:val="0009089F"/>
    <w:rsid w:val="000956B6"/>
    <w:rsid w:val="000C01BD"/>
    <w:rsid w:val="000D5737"/>
    <w:rsid w:val="0010717F"/>
    <w:rsid w:val="00107460"/>
    <w:rsid w:val="00125A34"/>
    <w:rsid w:val="00143440"/>
    <w:rsid w:val="0015317A"/>
    <w:rsid w:val="00162851"/>
    <w:rsid w:val="00183371"/>
    <w:rsid w:val="00193453"/>
    <w:rsid w:val="001B6A16"/>
    <w:rsid w:val="001C4905"/>
    <w:rsid w:val="001C66F1"/>
    <w:rsid w:val="001C6C1C"/>
    <w:rsid w:val="001F175F"/>
    <w:rsid w:val="001F3825"/>
    <w:rsid w:val="001F44DF"/>
    <w:rsid w:val="002038E1"/>
    <w:rsid w:val="002106DF"/>
    <w:rsid w:val="00210783"/>
    <w:rsid w:val="00216520"/>
    <w:rsid w:val="00222ABC"/>
    <w:rsid w:val="002333CC"/>
    <w:rsid w:val="002722E0"/>
    <w:rsid w:val="00283990"/>
    <w:rsid w:val="00295C52"/>
    <w:rsid w:val="002B0101"/>
    <w:rsid w:val="002B6EB5"/>
    <w:rsid w:val="002D1911"/>
    <w:rsid w:val="002D30EA"/>
    <w:rsid w:val="002E0C0A"/>
    <w:rsid w:val="002F64D1"/>
    <w:rsid w:val="00307BB8"/>
    <w:rsid w:val="00311655"/>
    <w:rsid w:val="00311788"/>
    <w:rsid w:val="0033612C"/>
    <w:rsid w:val="0036067F"/>
    <w:rsid w:val="003725F6"/>
    <w:rsid w:val="0037399B"/>
    <w:rsid w:val="003A1C28"/>
    <w:rsid w:val="003A3BBB"/>
    <w:rsid w:val="003C6CE4"/>
    <w:rsid w:val="003D0172"/>
    <w:rsid w:val="003E6683"/>
    <w:rsid w:val="00405813"/>
    <w:rsid w:val="00421BF9"/>
    <w:rsid w:val="00444C05"/>
    <w:rsid w:val="00466DB7"/>
    <w:rsid w:val="004701E7"/>
    <w:rsid w:val="00471E45"/>
    <w:rsid w:val="0047218D"/>
    <w:rsid w:val="00475D7C"/>
    <w:rsid w:val="00493E79"/>
    <w:rsid w:val="004A7E0A"/>
    <w:rsid w:val="004B1B42"/>
    <w:rsid w:val="004B3503"/>
    <w:rsid w:val="004C52CE"/>
    <w:rsid w:val="004C7423"/>
    <w:rsid w:val="004D7F44"/>
    <w:rsid w:val="004E1905"/>
    <w:rsid w:val="004E2BF0"/>
    <w:rsid w:val="004E2BF9"/>
    <w:rsid w:val="004E6B5F"/>
    <w:rsid w:val="004F59EC"/>
    <w:rsid w:val="00507BD9"/>
    <w:rsid w:val="00515367"/>
    <w:rsid w:val="005170F0"/>
    <w:rsid w:val="00520022"/>
    <w:rsid w:val="00534082"/>
    <w:rsid w:val="00540021"/>
    <w:rsid w:val="00551551"/>
    <w:rsid w:val="00561402"/>
    <w:rsid w:val="00561FE3"/>
    <w:rsid w:val="005B21CA"/>
    <w:rsid w:val="005B47A2"/>
    <w:rsid w:val="005B6115"/>
    <w:rsid w:val="005C20DA"/>
    <w:rsid w:val="005D74DD"/>
    <w:rsid w:val="005E160A"/>
    <w:rsid w:val="006011A7"/>
    <w:rsid w:val="00614FE6"/>
    <w:rsid w:val="00681FBD"/>
    <w:rsid w:val="006837B0"/>
    <w:rsid w:val="00685D7F"/>
    <w:rsid w:val="006876D8"/>
    <w:rsid w:val="006907EF"/>
    <w:rsid w:val="006C4FFE"/>
    <w:rsid w:val="006C7918"/>
    <w:rsid w:val="006F56B0"/>
    <w:rsid w:val="006F653C"/>
    <w:rsid w:val="00723B2D"/>
    <w:rsid w:val="00724DF6"/>
    <w:rsid w:val="007353F0"/>
    <w:rsid w:val="00765EB0"/>
    <w:rsid w:val="00775C7B"/>
    <w:rsid w:val="00793435"/>
    <w:rsid w:val="007A5626"/>
    <w:rsid w:val="007B18D6"/>
    <w:rsid w:val="007D2140"/>
    <w:rsid w:val="007F150C"/>
    <w:rsid w:val="008000A0"/>
    <w:rsid w:val="00813621"/>
    <w:rsid w:val="00834BC6"/>
    <w:rsid w:val="00852696"/>
    <w:rsid w:val="008601D5"/>
    <w:rsid w:val="00861F88"/>
    <w:rsid w:val="00872919"/>
    <w:rsid w:val="008D7199"/>
    <w:rsid w:val="008E6D8A"/>
    <w:rsid w:val="008E7315"/>
    <w:rsid w:val="008F2DBF"/>
    <w:rsid w:val="008F5031"/>
    <w:rsid w:val="0090592D"/>
    <w:rsid w:val="00907A4A"/>
    <w:rsid w:val="00913812"/>
    <w:rsid w:val="00930B5F"/>
    <w:rsid w:val="00955428"/>
    <w:rsid w:val="00956A4D"/>
    <w:rsid w:val="00993DF7"/>
    <w:rsid w:val="009A41EC"/>
    <w:rsid w:val="009B5990"/>
    <w:rsid w:val="009C1CB2"/>
    <w:rsid w:val="009D1477"/>
    <w:rsid w:val="009D78B8"/>
    <w:rsid w:val="009F0374"/>
    <w:rsid w:val="00A06A19"/>
    <w:rsid w:val="00A07D4C"/>
    <w:rsid w:val="00A31508"/>
    <w:rsid w:val="00A524F7"/>
    <w:rsid w:val="00A635F0"/>
    <w:rsid w:val="00A661BD"/>
    <w:rsid w:val="00A665C4"/>
    <w:rsid w:val="00A7485D"/>
    <w:rsid w:val="00A9074D"/>
    <w:rsid w:val="00A90EA7"/>
    <w:rsid w:val="00A933BE"/>
    <w:rsid w:val="00AB3861"/>
    <w:rsid w:val="00AC0631"/>
    <w:rsid w:val="00AC0BA2"/>
    <w:rsid w:val="00AD188A"/>
    <w:rsid w:val="00AD4BC5"/>
    <w:rsid w:val="00AE7BE3"/>
    <w:rsid w:val="00AF32F8"/>
    <w:rsid w:val="00B027E2"/>
    <w:rsid w:val="00B068F4"/>
    <w:rsid w:val="00B10236"/>
    <w:rsid w:val="00B32FB3"/>
    <w:rsid w:val="00B41415"/>
    <w:rsid w:val="00B54421"/>
    <w:rsid w:val="00B55E11"/>
    <w:rsid w:val="00B56020"/>
    <w:rsid w:val="00B60C96"/>
    <w:rsid w:val="00B64B62"/>
    <w:rsid w:val="00B7597A"/>
    <w:rsid w:val="00B7720B"/>
    <w:rsid w:val="00B931F3"/>
    <w:rsid w:val="00BA1CBE"/>
    <w:rsid w:val="00BA5A09"/>
    <w:rsid w:val="00BD1A2C"/>
    <w:rsid w:val="00BE37F1"/>
    <w:rsid w:val="00BE5A84"/>
    <w:rsid w:val="00BF4C40"/>
    <w:rsid w:val="00BF5D73"/>
    <w:rsid w:val="00BF6D1D"/>
    <w:rsid w:val="00C00182"/>
    <w:rsid w:val="00C34ED5"/>
    <w:rsid w:val="00C53068"/>
    <w:rsid w:val="00C6586F"/>
    <w:rsid w:val="00C80744"/>
    <w:rsid w:val="00C864C7"/>
    <w:rsid w:val="00C9008B"/>
    <w:rsid w:val="00CA035A"/>
    <w:rsid w:val="00CA07CB"/>
    <w:rsid w:val="00CA4CE9"/>
    <w:rsid w:val="00CA6B7D"/>
    <w:rsid w:val="00CC0936"/>
    <w:rsid w:val="00CE7B5A"/>
    <w:rsid w:val="00D10382"/>
    <w:rsid w:val="00D11DF2"/>
    <w:rsid w:val="00D15259"/>
    <w:rsid w:val="00D15665"/>
    <w:rsid w:val="00D221CD"/>
    <w:rsid w:val="00D26492"/>
    <w:rsid w:val="00D343B9"/>
    <w:rsid w:val="00D451E9"/>
    <w:rsid w:val="00D60711"/>
    <w:rsid w:val="00D64927"/>
    <w:rsid w:val="00D65910"/>
    <w:rsid w:val="00DA3FF8"/>
    <w:rsid w:val="00DC0EB2"/>
    <w:rsid w:val="00DC50B6"/>
    <w:rsid w:val="00DF4179"/>
    <w:rsid w:val="00E1081D"/>
    <w:rsid w:val="00E21745"/>
    <w:rsid w:val="00E3270D"/>
    <w:rsid w:val="00E346F9"/>
    <w:rsid w:val="00E4410A"/>
    <w:rsid w:val="00E54927"/>
    <w:rsid w:val="00E56740"/>
    <w:rsid w:val="00E8093A"/>
    <w:rsid w:val="00E8211E"/>
    <w:rsid w:val="00E86B02"/>
    <w:rsid w:val="00E91705"/>
    <w:rsid w:val="00EB3EA5"/>
    <w:rsid w:val="00ED30F9"/>
    <w:rsid w:val="00EF28EB"/>
    <w:rsid w:val="00EF580D"/>
    <w:rsid w:val="00F00C67"/>
    <w:rsid w:val="00F22234"/>
    <w:rsid w:val="00F25C55"/>
    <w:rsid w:val="00F37F39"/>
    <w:rsid w:val="00F461BD"/>
    <w:rsid w:val="00F53A91"/>
    <w:rsid w:val="00F63B16"/>
    <w:rsid w:val="00F63F36"/>
    <w:rsid w:val="00F656F1"/>
    <w:rsid w:val="00F70DD7"/>
    <w:rsid w:val="00FC6142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qFormat/>
    <w:rsid w:val="00311655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15259"/>
    <w:pPr>
      <w:keepNext/>
      <w:numPr>
        <w:ilvl w:val="2"/>
        <w:numId w:val="2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5259"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5259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5259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5259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15259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15259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907A4A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customStyle="1" w:styleId="Listalpha">
    <w:name w:val="List alpha"/>
    <w:basedOn w:val="BodyText"/>
    <w:pPr>
      <w:numPr>
        <w:numId w:val="24"/>
      </w:numPr>
      <w:spacing w:after="0"/>
      <w:ind w:left="850" w:hanging="340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311655"/>
    <w:pPr>
      <w:numPr>
        <w:numId w:val="16"/>
      </w:numPr>
      <w:tabs>
        <w:tab w:val="clear" w:pos="360"/>
        <w:tab w:val="left" w:pos="851"/>
      </w:tabs>
      <w:ind w:left="850" w:hanging="340"/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rFonts w:ascii="Arial" w:hAnsi="Arial"/>
      <w:color w:val="0000FF"/>
      <w:sz w:val="24"/>
      <w:szCs w:val="28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qFormat/>
    <w:rsid w:val="00311655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15259"/>
    <w:pPr>
      <w:keepNext/>
      <w:numPr>
        <w:ilvl w:val="2"/>
        <w:numId w:val="2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5259"/>
    <w:pPr>
      <w:keepNext/>
      <w:numPr>
        <w:ilvl w:val="3"/>
        <w:numId w:val="2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5259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5259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5259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D15259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D15259"/>
    <w:pPr>
      <w:numPr>
        <w:ilvl w:val="8"/>
        <w:numId w:val="2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907A4A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customStyle="1" w:styleId="Listalpha">
    <w:name w:val="List alpha"/>
    <w:basedOn w:val="BodyText"/>
    <w:pPr>
      <w:numPr>
        <w:numId w:val="24"/>
      </w:numPr>
      <w:spacing w:after="0"/>
      <w:ind w:left="850" w:hanging="340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311655"/>
    <w:pPr>
      <w:numPr>
        <w:numId w:val="16"/>
      </w:numPr>
      <w:tabs>
        <w:tab w:val="clear" w:pos="360"/>
        <w:tab w:val="left" w:pos="851"/>
      </w:tabs>
      <w:ind w:left="850" w:hanging="340"/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rFonts w:ascii="Arial" w:hAnsi="Arial"/>
      <w:color w:val="0000FF"/>
      <w:sz w:val="24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Delegation and Procedural Rules</vt:lpstr>
    </vt:vector>
  </TitlesOfParts>
  <Company>MWDA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Delegation and Procedural Rules</dc:title>
  <dc:subject>Version 1.0</dc:subject>
  <dc:creator>Valentine, Amanda</dc:creator>
  <cp:lastModifiedBy>Looker, Abigail</cp:lastModifiedBy>
  <cp:revision>3</cp:revision>
  <cp:lastPrinted>2017-06-06T09:40:00Z</cp:lastPrinted>
  <dcterms:created xsi:type="dcterms:W3CDTF">2017-05-31T11:04:00Z</dcterms:created>
  <dcterms:modified xsi:type="dcterms:W3CDTF">2017-06-06T09:40:00Z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WDA/21/14</vt:lpwstr>
  </property>
  <property fmtid="{D5CDD505-2E9C-101B-9397-08002B2CF9AE}" pid="3" name="Date">
    <vt:lpwstr>25th July 2014</vt:lpwstr>
  </property>
  <property fmtid="{D5CDD505-2E9C-101B-9397-08002B2CF9AE}" pid="4" name="ItemNumber">
    <vt:lpwstr>x</vt:lpwstr>
  </property>
  <property fmtid="{D5CDD505-2E9C-101B-9397-08002B2CF9AE}" pid="5" name="MeetingType">
    <vt:lpwstr>Merseyside Waste Disposal Authority</vt:lpwstr>
  </property>
  <property fmtid="{D5CDD505-2E9C-101B-9397-08002B2CF9AE}" pid="6" name="ReportOriginator">
    <vt:lpwstr>Chief Executive</vt:lpwstr>
  </property>
  <property fmtid="{D5CDD505-2E9C-101B-9397-08002B2CF9AE}" pid="7" name="Reason">
    <vt:lpwstr/>
  </property>
  <property fmtid="{D5CDD505-2E9C-101B-9397-08002B2CF9AE}" pid="8" name="HeaderPublicPrivateText">
    <vt:lpwstr>HeaderPublicPrivateText</vt:lpwstr>
  </property>
</Properties>
</file>